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Petroleum Engineering Services</w:t>
      </w:r>
    </w:p>
    <w:p>
      <w:pPr>
        <w:pStyle w:val="BodyText"/>
      </w:pPr>
      <w:r>
        <w:t xml:space="preserve">Prepared for Operations in Netherlands Amsterdam</w:t>
      </w:r>
    </w:p>
    <w:bookmarkEnd w:id="20"/>
    <w:p>
      <w:pPr>
        <w:pStyle w:val="BodyText"/>
      </w:pPr>
      <w:r>
        <w:rPr>
          <w:bCs/>
          <w:b/>
        </w:rPr>
        <w:t xml:space="preserve">Quotation No.:</w:t>
      </w:r>
      <w:r>
        <w:t xml:space="preserve"> </w:t>
      </w:r>
      <w:r>
        <w:t xml:space="preserve">QE-2025-AMST-0047</w:t>
      </w:r>
      <w:r>
        <w:br/>
      </w:r>
      <w:r>
        <w:rPr>
          <w:bCs/>
          <w:b/>
        </w:rPr>
        <w:t xml:space="preserve">Date Issued:</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Delta Reservoir Solutions B.V.</w:t>
      </w:r>
      <w:r>
        <w:br/>
      </w:r>
      <w:r>
        <w:rPr>
          <w:bCs/>
          <w:b/>
        </w:rPr>
        <w:t xml:space="preserve">Address:</w:t>
      </w:r>
      <w:r>
        <w:t xml:space="preserve"> </w:t>
      </w:r>
      <w:r>
        <w:t xml:space="preserve">Herengracht 420, 1017 CA Amsterdam</w:t>
      </w:r>
      <w:r>
        <w:br/>
      </w:r>
      <w:r>
        <w:rPr>
          <w:bCs/>
          <w:b/>
        </w:rPr>
        <w:t xml:space="preserve">Contact:</w:t>
      </w:r>
      <w:r>
        <w:t xml:space="preserve"> </w:t>
      </w:r>
      <w:r>
        <w:t xml:space="preserve">quotations@deltareservoir.nl</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North Sea Energy Partners N.V.</w:t>
            </w:r>
          </w:p>
        </w:tc>
      </w:tr>
      <w:tr>
        <w:tc>
          <w:tcPr/>
          <w:p>
            <w:pPr>
              <w:pStyle w:val="Compact"/>
              <w:jc w:val="left"/>
            </w:pPr>
            <w:r>
              <w:t xml:space="preserve">Project Location</w:t>
            </w:r>
          </w:p>
        </w:tc>
        <w:tc>
          <w:tcPr/>
          <w:p>
            <w:pPr>
              <w:pStyle w:val="Compact"/>
              <w:jc w:val="left"/>
            </w:pPr>
            <w:r>
              <w:t xml:space="preserve">Netherlands Amsterdam – Central Business District, Herengracht 420</w:t>
            </w:r>
          </w:p>
        </w:tc>
      </w:tr>
      <w:tr>
        <w:tc>
          <w:tcPr/>
          <w:p>
            <w:pPr>
              <w:pStyle w:val="Compact"/>
              <w:jc w:val="left"/>
            </w:pPr>
            <w:r>
              <w:t xml:space="preserve">Project Reference</w:t>
            </w:r>
          </w:p>
        </w:tc>
        <w:tc>
          <w:tcPr/>
          <w:p>
            <w:pPr>
              <w:pStyle w:val="Compact"/>
              <w:jc w:val="left"/>
            </w:pPr>
            <w:r>
              <w:t xml:space="preserve">NSP-RES-2025-112</w:t>
            </w:r>
          </w:p>
        </w:tc>
      </w:tr>
      <w:tr>
        <w:tc>
          <w:tcPr/>
          <w:p>
            <w:pPr>
              <w:pStyle w:val="Compact"/>
              <w:jc w:val="left"/>
            </w:pPr>
            <w:r>
              <w:t xml:space="preserve">Point of Contact</w:t>
            </w:r>
          </w:p>
        </w:tc>
        <w:tc>
          <w:tcPr/>
          <w:p>
            <w:pPr>
              <w:pStyle w:val="Compact"/>
              <w:jc w:val="left"/>
            </w:pPr>
            <w:r>
              <w:t xml:space="preserve">Dr. Hendrik van der Berg, Chief Operations Officer</w:t>
            </w:r>
          </w:p>
        </w:tc>
      </w:tr>
    </w:tbl>
    <w:bookmarkEnd w:id="21"/>
    <w:bookmarkStart w:id="22" w:name="X172d1c808c4414fdba3465075e4be1d7d1ef344"/>
    <w:p>
      <w:pPr>
        <w:pStyle w:val="Heading2"/>
      </w:pPr>
      <w:r>
        <w:t xml:space="preserve">2. Scope of Work – Petroleum Engineer Services</w:t>
      </w:r>
    </w:p>
    <w:p>
      <w:pPr>
        <w:pStyle w:val="FirstParagraph"/>
      </w:pPr>
      <w:r>
        <w:t xml:space="preserve">This</w:t>
      </w:r>
      <w:r>
        <w:t xml:space="preserve"> </w:t>
      </w:r>
      <w:r>
        <w:t xml:space="preserve">Quotation Estimate</w:t>
      </w:r>
      <w:r>
        <w:t xml:space="preserve"> </w:t>
      </w:r>
      <w:r>
        <w:t xml:space="preserve">is issued by Delta Reservoir Solutions B.V. to provide comprehensive</w:t>
      </w:r>
      <w:r>
        <w:t xml:space="preserve"> </w:t>
      </w:r>
      <w:r>
        <w:t xml:space="preserve">Petroleum Engineer</w:t>
      </w:r>
      <w:r>
        <w:t xml:space="preserve"> </w:t>
      </w:r>
      <w:r>
        <w:t xml:space="preserve">consultancy and technical services for the client's subsurface asset management programme. All services will be delivered from our principal office located in</w:t>
      </w:r>
      <w:r>
        <w:t xml:space="preserve"> </w:t>
      </w:r>
      <w:r>
        <w:t xml:space="preserve">Netherlands Amsterdam</w:t>
      </w:r>
      <w:r>
        <w:t xml:space="preserve">, ensuring proximity to the client's headquarters and facilitating on-site collaboration as required.</w:t>
      </w:r>
    </w:p>
    <w:p>
      <w:pPr>
        <w:pStyle w:val="BodyText"/>
      </w:pPr>
      <w:r>
        <w:t xml:space="preserve">The scope encompasses the following deliverables:</w:t>
      </w:r>
    </w:p>
    <w:p>
      <w:pPr>
        <w:numPr>
          <w:ilvl w:val="0"/>
          <w:numId w:val="1001"/>
        </w:numPr>
        <w:pStyle w:val="Compact"/>
      </w:pPr>
      <w:r>
        <w:rPr>
          <w:bCs/>
          <w:b/>
        </w:rPr>
        <w:t xml:space="preserve">Reservoir Characterisation &amp; Modelling:</w:t>
      </w:r>
      <w:r>
        <w:t xml:space="preserve"> </w:t>
      </w:r>
      <w:r>
        <w:t xml:space="preserve">A senior Petroleum Engineer will lead the construction and calibration of 3D numerical reservoir models for the client's North Sea gas assets. This includes geological interpretation, relative permeability analysis, and history matching over a minimum 12-month production window.</w:t>
      </w:r>
    </w:p>
    <w:p>
      <w:pPr>
        <w:numPr>
          <w:ilvl w:val="0"/>
          <w:numId w:val="1001"/>
        </w:numPr>
        <w:pStyle w:val="Compact"/>
      </w:pPr>
      <w:r>
        <w:rPr>
          <w:bCs/>
          <w:b/>
        </w:rPr>
        <w:t xml:space="preserve">Well Performance Analysis:</w:t>
      </w:r>
      <w:r>
        <w:t xml:space="preserve"> </w:t>
      </w:r>
      <w:r>
        <w:t xml:space="preserve">Detailed inflow performance relationships (IPR) and outflow performance relationships (OPR) for 14 producing wells, with recommendations for artificial lift optimisation and workover scheduling.</w:t>
      </w:r>
    </w:p>
    <w:p>
      <w:pPr>
        <w:numPr>
          <w:ilvl w:val="0"/>
          <w:numId w:val="1001"/>
        </w:numPr>
        <w:pStyle w:val="Compact"/>
      </w:pPr>
      <w:r>
        <w:rPr>
          <w:bCs/>
          <w:b/>
        </w:rPr>
        <w:t xml:space="preserve">Production Forecasting &amp; Decline Analysis:</w:t>
      </w:r>
      <w:r>
        <w:t xml:space="preserve"> </w:t>
      </w:r>
      <w:r>
        <w:t xml:space="preserve">Development of probabilistic production forecasts (P10, P50, P90) using both analytical decline curve methods and full numerical simulation, aligned with the client's 20-year asset life plan.</w:t>
      </w:r>
    </w:p>
    <w:p>
      <w:pPr>
        <w:numPr>
          <w:ilvl w:val="0"/>
          <w:numId w:val="1001"/>
        </w:numPr>
        <w:pStyle w:val="Compact"/>
      </w:pPr>
      <w:r>
        <w:rPr>
          <w:bCs/>
          <w:b/>
        </w:rPr>
        <w:t xml:space="preserve">Enhanced Oil &amp; Gas Recovery (EOR/EGOR) Feasibility:</w:t>
      </w:r>
      <w:r>
        <w:t xml:space="preserve"> </w:t>
      </w:r>
      <w:r>
        <w:t xml:space="preserve">Preliminary screening and economic evaluation of waterflood optimisation and gas injection strategies, including CO2 sequestration potential in accordance with Dutch environmental regulations.</w:t>
      </w:r>
    </w:p>
    <w:p>
      <w:pPr>
        <w:numPr>
          <w:ilvl w:val="0"/>
          <w:numId w:val="1001"/>
        </w:numPr>
        <w:pStyle w:val="Compact"/>
      </w:pPr>
      <w:r>
        <w:rPr>
          <w:bCs/>
          <w:b/>
        </w:rPr>
        <w:t xml:space="preserve">Regulatory &amp; Compliance Reporting:</w:t>
      </w:r>
      <w:r>
        <w:t xml:space="preserve"> </w:t>
      </w:r>
      <w:r>
        <w:t xml:space="preserve">Preparation of technical submissions to the Dutch Ministry of Economic Affairs and Climate Policy (EZK) and the National Oil Company (NAM) as required under the Netherlands Petroleum Act (Mineralenwet 2010).</w:t>
      </w:r>
    </w:p>
    <w:bookmarkEnd w:id="22"/>
    <w:bookmarkStart w:id="23" w:name="personnel-qualifications"/>
    <w:p>
      <w:pPr>
        <w:pStyle w:val="Heading2"/>
      </w:pPr>
      <w:r>
        <w:t xml:space="preserve">3. Personnel &amp; Qualifications</w:t>
      </w:r>
    </w:p>
    <w:p>
      <w:pPr>
        <w:pStyle w:val="FirstParagraph"/>
      </w:pPr>
      <w:r>
        <w:t xml:space="preserve">The</w:t>
      </w:r>
      <w:r>
        <w:t xml:space="preserve"> </w:t>
      </w:r>
      <w:r>
        <w:t xml:space="preserve">Petroleum Engineer</w:t>
      </w:r>
      <w:r>
        <w:t xml:space="preserve"> </w:t>
      </w:r>
      <w:r>
        <w:t xml:space="preserve">team assigned to this engagement in</w:t>
      </w:r>
      <w:r>
        <w:t xml:space="preserve"> </w:t>
      </w:r>
      <w:r>
        <w:t xml:space="preserve">Netherlands Amsterdam</w:t>
      </w:r>
      <w:r>
        <w:t xml:space="preserve"> </w:t>
      </w:r>
      <w:r>
        <w:t xml:space="preserve">will consist of the following qualified professionals: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Qualification</w:t>
            </w:r>
          </w:p>
        </w:tc>
        <w:tc>
          <w:tcPr/>
          <w:p>
            <w:pPr>
              <w:pStyle w:val="Compact"/>
              <w:jc w:val="left"/>
            </w:pPr>
            <w:r>
              <w:t xml:space="preserve">Experience</w:t>
            </w:r>
          </w:p>
        </w:tc>
        <w:tc>
          <w:tcPr/>
          <w:p>
            <w:pPr>
              <w:pStyle w:val="Compact"/>
              <w:jc w:val="left"/>
            </w:pPr>
            <w:r>
              <w:t xml:space="preserve">Allocation</w:t>
            </w:r>
          </w:p>
        </w:tc>
      </w:tr>
      <w:tr>
        <w:tc>
          <w:tcPr/>
          <w:p>
            <w:pPr>
              <w:pStyle w:val="Compact"/>
              <w:jc w:val="left"/>
            </w:pPr>
            <w:r>
              <w:t xml:space="preserve">Lead Petroleum Engineer</w:t>
            </w:r>
          </w:p>
        </w:tc>
        <w:tc>
          <w:tcPr/>
          <w:p>
            <w:pPr>
              <w:pStyle w:val="Compact"/>
              <w:jc w:val="left"/>
            </w:pPr>
            <w:r>
              <w:t xml:space="preserve">PhD Petroleum Engineering, Delft University of Technology</w:t>
            </w:r>
          </w:p>
        </w:tc>
        <w:tc>
          <w:tcPr/>
          <w:p>
            <w:pPr>
              <w:pStyle w:val="Compact"/>
              <w:jc w:val="left"/>
            </w:pPr>
            <w:r>
              <w:t xml:space="preserve">18 years (North Sea, Dutch Continental Shelf)</w:t>
            </w:r>
          </w:p>
        </w:tc>
        <w:tc>
          <w:tcPr/>
          <w:p>
            <w:pPr>
              <w:pStyle w:val="Compact"/>
              <w:jc w:val="left"/>
            </w:pPr>
            <w:r>
              <w:t xml:space="preserve">60%</w:t>
            </w:r>
          </w:p>
        </w:tc>
      </w:tr>
      <w:tr>
        <w:tc>
          <w:tcPr/>
          <w:p>
            <w:pPr>
              <w:pStyle w:val="Compact"/>
              <w:jc w:val="left"/>
            </w:pPr>
            <w:r>
              <w:t xml:space="preserve">Senior Reservoir Engineer</w:t>
            </w:r>
          </w:p>
        </w:tc>
        <w:tc>
          <w:tcPr/>
          <w:p>
            <w:pPr>
              <w:pStyle w:val="Compact"/>
              <w:jc w:val="left"/>
            </w:pPr>
            <w:r>
              <w:t xml:space="preserve">MSc Petroleum Engineering, TU Eindhoven</w:t>
            </w:r>
          </w:p>
        </w:tc>
        <w:tc>
          <w:tcPr/>
          <w:p>
            <w:pPr>
              <w:pStyle w:val="Compact"/>
              <w:jc w:val="left"/>
            </w:pPr>
            <w:r>
              <w:t xml:space="preserve">12 years</w:t>
            </w:r>
          </w:p>
        </w:tc>
        <w:tc>
          <w:tcPr/>
          <w:p>
            <w:pPr>
              <w:pStyle w:val="Compact"/>
              <w:jc w:val="left"/>
            </w:pPr>
            <w:r>
              <w:t xml:space="preserve">80%</w:t>
            </w:r>
          </w:p>
        </w:tc>
      </w:tr>
      <w:tr>
        <w:tc>
          <w:tcPr/>
          <w:p>
            <w:pPr>
              <w:pStyle w:val="Compact"/>
              <w:jc w:val="left"/>
            </w:pPr>
            <w:r>
              <w:t xml:space="preserve">Geomechanics Specialist</w:t>
            </w:r>
          </w:p>
        </w:tc>
        <w:tc>
          <w:tcPr/>
          <w:p>
            <w:pPr>
              <w:pStyle w:val="Compact"/>
              <w:jc w:val="left"/>
            </w:pPr>
            <w:r>
              <w:t xml:space="preserve">MSc Applied Geology, Utrecht University</w:t>
            </w:r>
          </w:p>
        </w:tc>
        <w:tc>
          <w:tcPr/>
          <w:p>
            <w:pPr>
              <w:pStyle w:val="Compact"/>
              <w:jc w:val="left"/>
            </w:pPr>
            <w:r>
              <w:t xml:space="preserve">9 years</w:t>
            </w:r>
          </w:p>
        </w:tc>
        <w:tc>
          <w:tcPr/>
          <w:p>
            <w:pPr>
              <w:pStyle w:val="Compact"/>
              <w:jc w:val="left"/>
            </w:pPr>
            <w:r>
              <w:t xml:space="preserve">40%</w:t>
            </w:r>
          </w:p>
        </w:tc>
      </w:tr>
      <w:tr>
        <w:tc>
          <w:tcPr/>
          <w:p>
            <w:pPr>
              <w:pStyle w:val="Compact"/>
              <w:jc w:val="left"/>
            </w:pPr>
            <w:r>
              <w:t xml:space="preserve">Junior Petroleum Engineer</w:t>
            </w:r>
          </w:p>
        </w:tc>
        <w:tc>
          <w:tcPr/>
          <w:p>
            <w:pPr>
              <w:pStyle w:val="Compact"/>
              <w:jc w:val="left"/>
            </w:pPr>
            <w:r>
              <w:t xml:space="preserve">BSc Petroleum Engineering, University of Groningen</w:t>
            </w:r>
          </w:p>
        </w:tc>
        <w:tc>
          <w:tcPr/>
          <w:p>
            <w:pPr>
              <w:pStyle w:val="Compact"/>
              <w:jc w:val="left"/>
            </w:pPr>
            <w:r>
              <w:t xml:space="preserve">3 years</w:t>
            </w:r>
          </w:p>
        </w:tc>
        <w:tc>
          <w:tcPr/>
          <w:p>
            <w:pPr>
              <w:pStyle w:val="Compact"/>
              <w:jc w:val="left"/>
            </w:pPr>
            <w:r>
              <w:t xml:space="preserve">100%</w:t>
            </w:r>
          </w:p>
        </w:tc>
      </w:tr>
    </w:tbl>
    <w:bookmarkEnd w:id="23"/>
    <w:bookmarkStart w:id="24" w:name="X267fdbf69222e738d57c1200e608cb86593a4c4"/>
    <w:p>
      <w:pPr>
        <w:pStyle w:val="Heading2"/>
      </w:pPr>
      <w:r>
        <w:t xml:space="preserve">4. Financial Summary – Quotation Estimate Breakdown</w:t>
      </w:r>
    </w:p>
    <w:p>
      <w:pPr>
        <w:pStyle w:val="FirstParagraph"/>
      </w:pPr>
      <w:r>
        <w:t xml:space="preserve">The following</w:t>
      </w:r>
      <w:r>
        <w:t xml:space="preserve"> </w:t>
      </w:r>
      <w:r>
        <w:t xml:space="preserve">Quotation Estimate</w:t>
      </w:r>
      <w:r>
        <w:t xml:space="preserve"> </w:t>
      </w:r>
      <w:r>
        <w:t xml:space="preserve">outlines all costs associated with the engagement. All figures are expressed in Euros (EUR) and are exclusive of Dutch Value Added Tax (VAT) at the standard rate of 21%.</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Lead Petroleum Engineer – Reservoir Modelling &amp; History Matching</w:t>
            </w:r>
          </w:p>
        </w:tc>
        <w:tc>
          <w:tcPr/>
          <w:p>
            <w:pPr>
              <w:pStyle w:val="Compact"/>
              <w:jc w:val="left"/>
            </w:pPr>
            <w:r>
              <w:t xml:space="preserve">6 months</w:t>
            </w:r>
          </w:p>
        </w:tc>
        <w:tc>
          <w:tcPr/>
          <w:p>
            <w:pPr>
              <w:pStyle w:val="Compact"/>
              <w:jc w:val="left"/>
            </w:pPr>
            <w:r>
              <w:t xml:space="preserve">€145,000 / month</w:t>
            </w:r>
          </w:p>
        </w:tc>
        <w:tc>
          <w:tcPr/>
          <w:p>
            <w:pPr>
              <w:pStyle w:val="Compact"/>
              <w:jc w:val="left"/>
            </w:pPr>
            <w:r>
              <w:t xml:space="preserve">€870,000</w:t>
            </w:r>
          </w:p>
        </w:tc>
      </w:tr>
      <w:tr>
        <w:tc>
          <w:tcPr/>
          <w:p>
            <w:pPr>
              <w:pStyle w:val="Compact"/>
              <w:jc w:val="left"/>
            </w:pPr>
            <w:r>
              <w:t xml:space="preserve">2</w:t>
            </w:r>
          </w:p>
        </w:tc>
        <w:tc>
          <w:tcPr/>
          <w:p>
            <w:pPr>
              <w:pStyle w:val="Compact"/>
              <w:jc w:val="left"/>
            </w:pPr>
            <w:r>
              <w:t xml:space="preserve">Senior Reservoir Engineer – Well Performance &amp; IPR/OPR Analysis</w:t>
            </w:r>
          </w:p>
        </w:tc>
        <w:tc>
          <w:tcPr/>
          <w:p>
            <w:pPr>
              <w:pStyle w:val="Compact"/>
              <w:jc w:val="left"/>
            </w:pPr>
            <w:r>
              <w:t xml:space="preserve">6 months</w:t>
            </w:r>
          </w:p>
        </w:tc>
        <w:tc>
          <w:tcPr/>
          <w:p>
            <w:pPr>
              <w:pStyle w:val="Compact"/>
              <w:jc w:val="left"/>
            </w:pPr>
            <w:r>
              <w:t xml:space="preserve">€98,000 / month</w:t>
            </w:r>
          </w:p>
        </w:tc>
        <w:tc>
          <w:tcPr/>
          <w:p>
            <w:pPr>
              <w:pStyle w:val="Compact"/>
              <w:jc w:val="left"/>
            </w:pPr>
            <w:r>
              <w:t xml:space="preserve">€588,000</w:t>
            </w:r>
          </w:p>
        </w:tc>
      </w:tr>
      <w:tr>
        <w:tc>
          <w:tcPr/>
          <w:p>
            <w:pPr>
              <w:pStyle w:val="Compact"/>
              <w:jc w:val="left"/>
            </w:pPr>
            <w:r>
              <w:t xml:space="preserve">3</w:t>
            </w:r>
          </w:p>
        </w:tc>
        <w:tc>
          <w:tcPr/>
          <w:p>
            <w:pPr>
              <w:pStyle w:val="Compact"/>
              <w:jc w:val="left"/>
            </w:pPr>
            <w:r>
              <w:t xml:space="preserve">Geomechanics Specialist – Subsurface Stability Assessment</w:t>
            </w:r>
          </w:p>
        </w:tc>
        <w:tc>
          <w:tcPr/>
          <w:p>
            <w:pPr>
              <w:pStyle w:val="Compact"/>
              <w:jc w:val="left"/>
            </w:pPr>
            <w:r>
              <w:t xml:space="preserve">3 months</w:t>
            </w:r>
          </w:p>
        </w:tc>
        <w:tc>
          <w:tcPr/>
          <w:p>
            <w:pPr>
              <w:pStyle w:val="Compact"/>
              <w:jc w:val="left"/>
            </w:pPr>
            <w:r>
              <w:t xml:space="preserve">€82,000 / month</w:t>
            </w:r>
          </w:p>
        </w:tc>
        <w:tc>
          <w:tcPr/>
          <w:p>
            <w:pPr>
              <w:pStyle w:val="Compact"/>
              <w:jc w:val="left"/>
            </w:pPr>
            <w:r>
              <w:t xml:space="preserve">€246,000</w:t>
            </w:r>
          </w:p>
        </w:tc>
      </w:tr>
      <w:tr>
        <w:tc>
          <w:tcPr/>
          <w:p>
            <w:pPr>
              <w:pStyle w:val="Compact"/>
              <w:jc w:val="left"/>
            </w:pPr>
            <w:r>
              <w:t xml:space="preserve">4</w:t>
            </w:r>
          </w:p>
        </w:tc>
        <w:tc>
          <w:tcPr/>
          <w:p>
            <w:pPr>
              <w:pStyle w:val="Compact"/>
              <w:jc w:val="left"/>
            </w:pPr>
            <w:r>
              <w:t xml:space="preserve">Junior Petroleum Engineer – Data Management &amp; Reporting</w:t>
            </w:r>
          </w:p>
        </w:tc>
        <w:tc>
          <w:tcPr/>
          <w:p>
            <w:pPr>
              <w:pStyle w:val="Compact"/>
              <w:jc w:val="left"/>
            </w:pPr>
            <w:r>
              <w:t xml:space="preserve">6 months</w:t>
            </w:r>
          </w:p>
        </w:tc>
        <w:tc>
          <w:tcPr/>
          <w:p>
            <w:pPr>
              <w:pStyle w:val="Compact"/>
              <w:jc w:val="left"/>
            </w:pPr>
            <w:r>
              <w:t xml:space="preserve">€52,000 / month</w:t>
            </w:r>
          </w:p>
        </w:tc>
        <w:tc>
          <w:tcPr/>
          <w:p>
            <w:pPr>
              <w:pStyle w:val="Compact"/>
              <w:jc w:val="left"/>
            </w:pPr>
            <w:r>
              <w:t xml:space="preserve">€312,000</w:t>
            </w:r>
          </w:p>
        </w:tc>
      </w:tr>
      <w:tr>
        <w:tc>
          <w:tcPr/>
          <w:p>
            <w:pPr>
              <w:pStyle w:val="Compact"/>
              <w:jc w:val="left"/>
            </w:pPr>
            <w:r>
              <w:t xml:space="preserve">5</w:t>
            </w:r>
          </w:p>
        </w:tc>
        <w:tc>
          <w:tcPr/>
          <w:p>
            <w:pPr>
              <w:pStyle w:val="Compact"/>
              <w:jc w:val="left"/>
            </w:pPr>
            <w:r>
              <w:t xml:space="preserve">Software Licences (Petrel, Eclipse, CMG) – Project Duration</w:t>
            </w:r>
          </w:p>
        </w:tc>
        <w:tc>
          <w:tcPr/>
          <w:p>
            <w:pPr>
              <w:pStyle w:val="Compact"/>
              <w:jc w:val="left"/>
            </w:pPr>
            <w:r>
              <w:t xml:space="preserve">6 months</w:t>
            </w:r>
          </w:p>
        </w:tc>
        <w:tc>
          <w:tcPr/>
          <w:p>
            <w:pPr>
              <w:pStyle w:val="Compact"/>
              <w:jc w:val="left"/>
            </w:pPr>
            <w:r>
              <w:t xml:space="preserve">€18,500 / month</w:t>
            </w:r>
          </w:p>
        </w:tc>
        <w:tc>
          <w:tcPr/>
          <w:p>
            <w:pPr>
              <w:pStyle w:val="Compact"/>
              <w:jc w:val="left"/>
            </w:pPr>
            <w:r>
              <w:t xml:space="preserve">€111,000</w:t>
            </w:r>
          </w:p>
        </w:tc>
      </w:tr>
      <w:tr>
        <w:tc>
          <w:tcPr/>
          <w:p>
            <w:pPr>
              <w:pStyle w:val="Compact"/>
              <w:jc w:val="left"/>
            </w:pPr>
            <w:r>
              <w:t xml:space="preserve">6</w:t>
            </w:r>
          </w:p>
        </w:tc>
        <w:tc>
          <w:tcPr/>
          <w:p>
            <w:pPr>
              <w:pStyle w:val="Compact"/>
              <w:jc w:val="left"/>
            </w:pPr>
            <w:r>
              <w:t xml:space="preserve">Travel &amp; On-Site Visits (Amsterdam to North Sea Platforms)</w:t>
            </w:r>
          </w:p>
        </w:tc>
        <w:tc>
          <w:tcPr/>
          <w:p>
            <w:pPr>
              <w:pStyle w:val="Compact"/>
              <w:jc w:val="left"/>
            </w:pPr>
            <w:r>
              <w:t xml:space="preserve">6 months</w:t>
            </w:r>
          </w:p>
        </w:tc>
        <w:tc>
          <w:tcPr/>
          <w:p>
            <w:pPr>
              <w:pStyle w:val="Compact"/>
              <w:jc w:val="left"/>
            </w:pPr>
            <w:r>
              <w:t xml:space="preserve">€4,200 / month</w:t>
            </w:r>
          </w:p>
        </w:tc>
        <w:tc>
          <w:tcPr/>
          <w:p>
            <w:pPr>
              <w:pStyle w:val="Compact"/>
              <w:jc w:val="left"/>
            </w:pPr>
            <w:r>
              <w:t xml:space="preserve">€25,200</w:t>
            </w:r>
          </w:p>
        </w:tc>
      </w:tr>
      <w:tr>
        <w:tc>
          <w:tcPr/>
          <w:p>
            <w:pPr>
              <w:pStyle w:val="Compact"/>
              <w:jc w:val="left"/>
            </w:pPr>
            <w:r>
              <w:t xml:space="preserve">7</w:t>
            </w:r>
          </w:p>
        </w:tc>
        <w:tc>
          <w:tcPr/>
          <w:p>
            <w:pPr>
              <w:pStyle w:val="Compact"/>
              <w:jc w:val="left"/>
            </w:pPr>
            <w:r>
              <w:t xml:space="preserve">Regulatory Filing &amp; Compliance Support (EZK / NAM)</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€38,000</w:t>
            </w:r>
          </w:p>
        </w:tc>
      </w:tr>
      <w:tr>
        <w:tc>
          <w:tcPr>
            <w:gridSpan w:val="4"/>
          </w:tcPr>
          <w:p>
            <w:pPr>
              <w:pStyle w:val="Compact"/>
              <w:jc w:val="left"/>
            </w:pPr>
            <w:r>
              <w:t xml:space="preserve">Subtotal (Excl. VAT)</w:t>
            </w:r>
          </w:p>
        </w:tc>
        <w:tc>
          <w:tcPr/>
          <w:p>
            <w:pPr>
              <w:pStyle w:val="Compact"/>
              <w:jc w:val="left"/>
            </w:pPr>
            <w:r>
              <w:t xml:space="preserve">€2,190,200</w:t>
            </w:r>
          </w:p>
        </w:tc>
      </w:tr>
      <w:tr>
        <w:tc>
          <w:tcPr>
            <w:gridSpan w:val="4"/>
          </w:tcPr>
          <w:p>
            <w:pPr>
              <w:pStyle w:val="Compact"/>
              <w:jc w:val="left"/>
            </w:pPr>
            <w:r>
              <w:t xml:space="preserve">VAT (21%)</w:t>
            </w:r>
          </w:p>
        </w:tc>
        <w:tc>
          <w:tcPr/>
          <w:p>
            <w:pPr>
              <w:pStyle w:val="Compact"/>
              <w:jc w:val="left"/>
            </w:pPr>
            <w:r>
              <w:t xml:space="preserve">€459,942</w:t>
            </w:r>
          </w:p>
        </w:tc>
      </w:tr>
      <w:tr>
        <w:tc>
          <w:tcPr>
            <w:gridSpan w:val="4"/>
          </w:tcPr>
          <w:p>
            <w:pPr>
              <w:pStyle w:val="Compact"/>
              <w:jc w:val="left"/>
            </w:pPr>
            <w:r>
              <w:t xml:space="preserve">Total (Incl. VAT)</w:t>
            </w:r>
          </w:p>
        </w:tc>
        <w:tc>
          <w:tcPr/>
          <w:p>
            <w:pPr>
              <w:pStyle w:val="Compact"/>
              <w:jc w:val="left"/>
            </w:pPr>
            <w:r>
              <w:t xml:space="preserve">€2,650,142</w:t>
            </w:r>
          </w:p>
        </w:tc>
      </w:tr>
    </w:tbl>
    <w:bookmarkEnd w:id="24"/>
    <w:bookmarkStart w:id="25" w:name="payment-terms"/>
    <w:p>
      <w:pPr>
        <w:pStyle w:val="Heading2"/>
      </w:pPr>
      <w:r>
        <w:t xml:space="preserve">5. Payment Terms</w:t>
      </w:r>
    </w:p>
    <w:p>
      <w:pPr>
        <w:pStyle w:val="FirstParagraph"/>
      </w:pPr>
      <w:r>
        <w:t xml:space="preserve">Payment shall be made in monthly instalments, invoiced on the 1st of each month for services rendered in the preceding month. A 10% mobilisation fee is due upon contract signature. All payments are to be made via bank transfer to Delta Reservoir Solutions B.V., ING Bank, IBAN NL91 INGB 0001 2345 67, Amsterdam. Late payments shall accrue interest at the statutory Dutch rate (wettelijke rente) as defined under Article 6:119 of the Dutch Civil Code (Burgerlijk Wetboek).</w:t>
      </w:r>
    </w:p>
    <w:bookmarkEnd w:id="25"/>
    <w:bookmarkStart w:id="26" w:name="terms-conditions"/>
    <w:p>
      <w:pPr>
        <w:pStyle w:val="Heading2"/>
      </w:pPr>
      <w:r>
        <w:t xml:space="preserve">6. Terms &amp;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rates and availability of the Petroleum Engineer team are subject to revision.</w:t>
      </w:r>
    </w:p>
    <w:p>
      <w:pPr>
        <w:numPr>
          <w:ilvl w:val="0"/>
          <w:numId w:val="1002"/>
        </w:numPr>
        <w:pStyle w:val="Compact"/>
      </w:pPr>
      <w:r>
        <w:t xml:space="preserve">All work will be performed in accordance with the Dutch Working Conditions Act (Arbeidsomstandighedenwet) and applicable health and safety regulations for the Netherlands.</w:t>
      </w:r>
    </w:p>
    <w:p>
      <w:pPr>
        <w:numPr>
          <w:ilvl w:val="0"/>
          <w:numId w:val="1002"/>
        </w:numPr>
        <w:pStyle w:val="Compact"/>
      </w:pPr>
      <w:r>
        <w:t xml:space="preserve">Intellectual property generated during the engagement, including reservoir models, reports, and forecasts, shall remain the exclusive property of the client upon full payment.</w:t>
      </w:r>
    </w:p>
    <w:p>
      <w:pPr>
        <w:numPr>
          <w:ilvl w:val="0"/>
          <w:numId w:val="1002"/>
        </w:numPr>
        <w:pStyle w:val="Compact"/>
      </w:pPr>
      <w:r>
        <w:t xml:space="preserve">Delta Reservoir Solutions B.V. shall maintain professional indemnity insurance with a minimum cover of €5,000,000, as is standard practice for Petroleum Engineer services in the Netherlands.</w:t>
      </w:r>
    </w:p>
    <w:p>
      <w:pPr>
        <w:numPr>
          <w:ilvl w:val="0"/>
          <w:numId w:val="1002"/>
        </w:numPr>
        <w:pStyle w:val="Compact"/>
      </w:pPr>
      <w:r>
        <w:t xml:space="preserve">Any changes to scope, duration, or deliverables must be agreed in writing via a formal Change Order. The Quotation Estimate shall be amended accordingly.</w:t>
      </w:r>
    </w:p>
    <w:p>
      <w:pPr>
        <w:numPr>
          <w:ilvl w:val="0"/>
          <w:numId w:val="1002"/>
        </w:numPr>
        <w:pStyle w:val="Compact"/>
      </w:pPr>
      <w:r>
        <w:t xml:space="preserve">Governing law: The laws of the Netherlands. Disputes shall be resolved by the competent courts of Amsterdam, Netherlands.</w:t>
      </w:r>
    </w:p>
    <w:bookmarkEnd w:id="26"/>
    <w:p>
      <w:pPr>
        <w:pStyle w:val="FirstParagraph"/>
      </w:pPr>
      <w:r>
        <w:rPr>
          <w:bCs/>
          <w:b/>
        </w:rPr>
        <w:t xml:space="preserve">Note:</w:t>
      </w:r>
      <w:r>
        <w:t xml:space="preserve"> </w:t>
      </w:r>
      <w:r>
        <w:t xml:space="preserve">This Quotation Estimate assumes that the client will provide all necessary well data, seismic volumes, and geological reports within the first two weeks of project mobilisation. Delays in data provision may result in schedule extensions and additional costs, which will be communicated in writing prior to any adjustment.</w:t>
      </w:r>
    </w:p>
    <w:bookmarkStart w:id="27" w:name="acceptance-authorisation"/>
    <w:p>
      <w:pPr>
        <w:pStyle w:val="Heading2"/>
      </w:pPr>
      <w:r>
        <w:t xml:space="preserve">7. Acceptance &amp; Authorisation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Petroleum Engineer</w:t>
      </w:r>
      <w:r>
        <w:t xml:space="preserve"> </w:t>
      </w:r>
      <w:r>
        <w:t xml:space="preserve">services to be delivered in</w:t>
      </w:r>
      <w:r>
        <w:t xml:space="preserve"> </w:t>
      </w:r>
      <w:r>
        <w:t xml:space="preserve">Netherlands Amsterdam</w:t>
      </w:r>
      <w:r>
        <w:t xml:space="preserve"> </w:t>
      </w:r>
      <w:r>
        <w:t xml:space="preserve">under the terms and conditions set forth herein.</w:t>
      </w:r>
    </w:p>
    <w:bookmarkEnd w:id="27"/>
    <w:p>
      <w:pPr>
        <w:pStyle w:val="BodyText"/>
      </w:pPr>
      <w:r>
        <w:rPr>
          <w:bCs/>
          <w:b/>
        </w:rPr>
        <w:t xml:space="preserve">For and on behalf of Delta Reservoir Solutions B.V.</w:t>
      </w:r>
      <w:r>
        <w:br/>
      </w:r>
      <w:r>
        <w:t xml:space="preserve">Name: Dr. Annelies de Vries</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 North Sea Energy Partners N.V.</w:t>
      </w:r>
      <w:r>
        <w:br/>
      </w:r>
      <w:r>
        <w:t xml:space="preserve">Name: Dr. Hendrik van der Berg</w:t>
      </w:r>
      <w:r>
        <w:br/>
      </w:r>
      <w:r>
        <w:t xml:space="preserve">Title: Chief Operations Officer</w:t>
      </w:r>
      <w:r>
        <w:br/>
      </w:r>
      <w:r>
        <w:t xml:space="preserve">Signature: _________________________</w:t>
      </w:r>
      <w:r>
        <w:br/>
      </w:r>
      <w:r>
        <w:t xml:space="preserve">Date: _________________________</w:t>
      </w:r>
    </w:p>
    <w:p>
      <w:pPr>
        <w:pStyle w:val="BodyText"/>
      </w:pPr>
      <w:r>
        <w:rPr>
          <w:bCs/>
          <w:b/>
        </w:rPr>
        <w:t xml:space="preserve">Delta Reservoir Solutions B.V.</w:t>
      </w:r>
      <w:r>
        <w:t xml:space="preserve"> </w:t>
      </w:r>
      <w:r>
        <w:t xml:space="preserve">| KvK: 87654321 | VAT: NL861234567B01 | Herengracht 420, 1017 CA Amsterdam, The Netherlands</w:t>
      </w:r>
      <w:r>
        <w:br/>
      </w:r>
      <w:r>
        <w:t xml:space="preserve">This Quotation Estimate document is confidential and intended solely for the named recipient. Unauthorised reproduction or distribution is prohibited. Document reference: QE-2025-AMST-0047.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Netherlands Amsterdam</dc:title>
  <dc:creator/>
  <dc:language>en</dc:language>
  <cp:keywords/>
  <dcterms:created xsi:type="dcterms:W3CDTF">2026-10-10T06:20:32Z</dcterms:created>
  <dcterms:modified xsi:type="dcterms:W3CDTF">2026-10-10T06:20:32Z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