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Petroleum</w:t>
      </w:r>
      <w:r>
        <w:t xml:space="preserve"> </w:t>
      </w:r>
      <w:r>
        <w:t xml:space="preserve">Engineer</w:t>
      </w:r>
      <w:r>
        <w:t xml:space="preserve"> </w:t>
      </w:r>
      <w:r>
        <w:t xml:space="preserve">Services</w:t>
      </w:r>
      <w:r>
        <w:t xml:space="preserve"> </w:t>
      </w:r>
      <w:r>
        <w:t xml:space="preserve">-</w:t>
      </w:r>
      <w:r>
        <w:t xml:space="preserve"> </w:t>
      </w:r>
      <w:r>
        <w:t xml:space="preserve">Nigeria</w:t>
      </w:r>
      <w:r>
        <w:t xml:space="preserve"> </w:t>
      </w:r>
      <w:r>
        <w:t xml:space="preserve">Lagos</w:t>
      </w:r>
    </w:p>
    <w:bookmarkStart w:id="20" w:name="quotation-estimate"/>
    <w:p>
      <w:pPr>
        <w:pStyle w:val="Heading1"/>
      </w:pPr>
      <w:r>
        <w:t xml:space="preserve">Quotation Estimate</w:t>
      </w:r>
    </w:p>
    <w:p>
      <w:pPr>
        <w:pStyle w:val="FirstParagraph"/>
      </w:pPr>
      <w:r>
        <w:rPr>
          <w:bCs/>
          <w:b/>
        </w:rPr>
        <w:t xml:space="preserve">DeepWell Engineering &amp; Consultancy Ltd.</w:t>
      </w:r>
    </w:p>
    <w:p>
      <w:pPr>
        <w:pStyle w:val="BodyText"/>
      </w:pPr>
      <w:r>
        <w:t xml:space="preserve">14B Admiralty Way, Lekki Phase 1, Lagos, Nigeria</w:t>
      </w:r>
    </w:p>
    <w:p>
      <w:pPr>
        <w:pStyle w:val="BodyText"/>
      </w:pPr>
      <w:r>
        <w:t xml:space="preserve">Tel: +234 (0) 803 555 7210 | Email: quotations@deepwelleng.ng</w:t>
      </w:r>
    </w:p>
    <w:p>
      <w:pPr>
        <w:pStyle w:val="BodyText"/>
      </w:pPr>
      <w:r>
        <w:t xml:space="preserve">RC: 1284576 | VAT Reg: 10234567-0001</w:t>
      </w:r>
    </w:p>
    <w:bookmarkEnd w:id="20"/>
    <w:p>
      <w:pPr>
        <w:pStyle w:val="BodyText"/>
      </w:pPr>
      <w:r>
        <w:rPr>
          <w:bCs/>
          <w:b/>
        </w:rPr>
        <w:t xml:space="preserve">Quotation No.:</w:t>
      </w:r>
      <w:r>
        <w:t xml:space="preserve"> </w:t>
      </w:r>
      <w:r>
        <w:t xml:space="preserve">DWE/QE/2025/00472</w:t>
      </w:r>
    </w:p>
    <w:p>
      <w:pPr>
        <w:pStyle w:val="BodyText"/>
      </w:pPr>
      <w:r>
        <w:rPr>
          <w:bCs/>
          <w:b/>
        </w:rPr>
        <w:t xml:space="preserve">Date Issued:</w:t>
      </w:r>
      <w:r>
        <w:t xml:space="preserve"> </w:t>
      </w:r>
      <w:r>
        <w:t xml:space="preserve">12 June 2025</w:t>
      </w:r>
    </w:p>
    <w:p>
      <w:pPr>
        <w:pStyle w:val="BodyText"/>
      </w:pPr>
      <w:r>
        <w:rPr>
          <w:bCs/>
          <w:b/>
        </w:rPr>
        <w:t xml:space="preserve">Valid Until:</w:t>
      </w:r>
      <w:r>
        <w:t xml:space="preserve"> </w:t>
      </w:r>
      <w:r>
        <w:t xml:space="preserve">12 July 2025</w:t>
      </w:r>
    </w:p>
    <w:p>
      <w:pPr>
        <w:pStyle w:val="BodyText"/>
      </w:pPr>
      <w:r>
        <w:rPr>
          <w:bCs/>
          <w:b/>
        </w:rPr>
        <w:t xml:space="preserve">Project Location:</w:t>
      </w:r>
      <w:r>
        <w:t xml:space="preserve"> </w:t>
      </w:r>
      <w:r>
        <w:t xml:space="preserve">Nigeria Lagos</w:t>
      </w:r>
    </w:p>
    <w:p>
      <w:pPr>
        <w:pStyle w:val="BodyText"/>
      </w:pPr>
      <w:r>
        <w:t xml:space="preserve">1. Client Information</w:t>
      </w:r>
    </w:p>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Client Name:</w:t>
            </w:r>
            <w:r>
              <w:t xml:space="preserve"> </w:t>
            </w:r>
            <w:r>
              <w:t xml:space="preserve">Niger Delta Energy Ventures Plc.</w:t>
            </w:r>
          </w:p>
        </w:tc>
        <w:tc>
          <w:tcPr/>
          <w:p>
            <w:pPr>
              <w:pStyle w:val="Compact"/>
              <w:jc w:val="left"/>
            </w:pPr>
            <w:r>
              <w:rPr>
                <w:bCs/>
                <w:b/>
              </w:rPr>
              <w:t xml:space="preserve">Contact Person:</w:t>
            </w:r>
            <w:r>
              <w:t xml:space="preserve"> </w:t>
            </w:r>
            <w:r>
              <w:t xml:space="preserve">Engr. Adewale Okafor</w:t>
            </w:r>
          </w:p>
        </w:tc>
      </w:tr>
      <w:tr>
        <w:tc>
          <w:tcPr/>
          <w:p>
            <w:pPr>
              <w:pStyle w:val="Compact"/>
              <w:jc w:val="left"/>
            </w:pPr>
            <w:r>
              <w:rPr>
                <w:bCs/>
                <w:b/>
              </w:rPr>
              <w:t xml:space="preserve">Address:</w:t>
            </w:r>
            <w:r>
              <w:t xml:space="preserve"> </w:t>
            </w:r>
            <w:r>
              <w:t xml:space="preserve">22 Marina Road, Victoria Island, Nigeria Lagos</w:t>
            </w:r>
          </w:p>
        </w:tc>
        <w:tc>
          <w:tcPr/>
          <w:p>
            <w:pPr>
              <w:pStyle w:val="Compact"/>
              <w:jc w:val="left"/>
            </w:pPr>
            <w:r>
              <w:rPr>
                <w:bCs/>
                <w:b/>
              </w:rPr>
              <w:t xml:space="preserve">Email:</w:t>
            </w:r>
            <w:r>
              <w:t xml:space="preserve"> </w:t>
            </w:r>
            <w:r>
              <w:t xml:space="preserve">a.okafor@ndevplc.com</w:t>
            </w:r>
          </w:p>
        </w:tc>
      </w:tr>
      <w:tr>
        <w:tc>
          <w:tcPr/>
          <w:p>
            <w:pPr>
              <w:pStyle w:val="Compact"/>
              <w:jc w:val="left"/>
            </w:pPr>
            <w:r>
              <w:rPr>
                <w:bCs/>
                <w:b/>
              </w:rPr>
              <w:t xml:space="preserve">Phone:</w:t>
            </w:r>
            <w:r>
              <w:t xml:space="preserve"> </w:t>
            </w:r>
            <w:r>
              <w:t xml:space="preserve">+234 (0) 812 334 9987</w:t>
            </w:r>
          </w:p>
        </w:tc>
        <w:tc>
          <w:tcPr/>
          <w:p>
            <w:pPr>
              <w:pStyle w:val="Compact"/>
              <w:jc w:val="left"/>
            </w:pPr>
            <w:r>
              <w:rPr>
                <w:bCs/>
                <w:b/>
              </w:rPr>
              <w:t xml:space="preserve">Project Ref:</w:t>
            </w:r>
            <w:r>
              <w:t xml:space="preserve"> </w:t>
            </w:r>
            <w:r>
              <w:t xml:space="preserve">NDV-RES-2025-019</w:t>
            </w:r>
          </w:p>
        </w:tc>
      </w:tr>
    </w:tbl>
    <w:p>
      <w:pPr>
        <w:pStyle w:val="BodyText"/>
      </w:pPr>
      <w:r>
        <w:t xml:space="preserve">2. Scope of Work – Petroleum Engineer Services</w:t>
      </w:r>
    </w:p>
    <w:p>
      <w:pPr>
        <w:pStyle w:val="BodyText"/>
      </w:pPr>
      <w:r>
        <w:t xml:space="preserve">This</w:t>
      </w:r>
      <w:r>
        <w:t xml:space="preserve"> </w:t>
      </w:r>
      <w:r>
        <w:t xml:space="preserve">Quotation Estimate</w:t>
      </w:r>
      <w:r>
        <w:t xml:space="preserve"> </w:t>
      </w:r>
      <w:r>
        <w:t xml:space="preserve">is issued by DeepWell Engineering &amp; Consultancy Ltd. to Niger Delta Energy Ventures Plc. for the provision of a senior</w:t>
      </w:r>
      <w:r>
        <w:t xml:space="preserve"> </w:t>
      </w:r>
      <w:r>
        <w:t xml:space="preserve">Petroleum Engineer</w:t>
      </w:r>
      <w:r>
        <w:t xml:space="preserve"> </w:t>
      </w:r>
      <w:r>
        <w:t xml:space="preserve">and associated technical support services to be deployed at the client's operational facilities in</w:t>
      </w:r>
      <w:r>
        <w:t xml:space="preserve"> </w:t>
      </w:r>
      <w:r>
        <w:t xml:space="preserve">Nigeria Lagos</w:t>
      </w:r>
      <w:r>
        <w:t xml:space="preserve">. The scope encompasses reservoir performance analysis, wellbore integrity assessment, production optimization studies, and the preparation of technical reports in compliance with the Nigerian Upstream Petroleum Regulatory Commission (NUPRC) standards and guidelines.</w:t>
      </w:r>
    </w:p>
    <w:p>
      <w:pPr>
        <w:pStyle w:val="BodyText"/>
      </w:pPr>
      <w:r>
        <w:t xml:space="preserve">The</w:t>
      </w:r>
      <w:r>
        <w:t xml:space="preserve"> </w:t>
      </w:r>
      <w:r>
        <w:t xml:space="preserve">Petroleum Engineer</w:t>
      </w:r>
      <w:r>
        <w:t xml:space="preserve"> </w:t>
      </w:r>
      <w:r>
        <w:t xml:space="preserve">assigned to this engagement will hold a minimum of fifteen (15) years of progressive experience in onshore and offshore hydrocarbon operations within the Niger Delta region. The engineer will be responsible for conducting monthly reservoir surveillance, reviewing completion and workover programmes, advising on artificial lift system selection, and preparing quarterly production forecasts for the client's three (3) active fields located in the Lagos Basin.</w:t>
      </w:r>
    </w:p>
    <w:p>
      <w:pPr>
        <w:pStyle w:val="BodyText"/>
      </w:pPr>
      <w:r>
        <w:t xml:space="preserve">3. Itemized Cost Breakdown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S/N</w:t>
            </w:r>
          </w:p>
        </w:tc>
        <w:tc>
          <w:tcPr/>
          <w:p>
            <w:pPr>
              <w:pStyle w:val="Compact"/>
              <w:jc w:val="left"/>
            </w:pPr>
            <w:r>
              <w:t xml:space="preserve">Description of Service</w:t>
            </w:r>
          </w:p>
        </w:tc>
        <w:tc>
          <w:tcPr/>
          <w:p>
            <w:pPr>
              <w:pStyle w:val="Compact"/>
              <w:jc w:val="left"/>
            </w:pPr>
            <w:r>
              <w:t xml:space="preserve">Duration</w:t>
            </w:r>
          </w:p>
        </w:tc>
        <w:tc>
          <w:tcPr/>
          <w:p>
            <w:pPr>
              <w:pStyle w:val="Compact"/>
              <w:jc w:val="left"/>
            </w:pPr>
            <w:r>
              <w:t xml:space="preserve">Unit Rate (NGN)</w:t>
            </w:r>
          </w:p>
        </w:tc>
        <w:tc>
          <w:tcPr/>
          <w:p>
            <w:pPr>
              <w:pStyle w:val="Compact"/>
              <w:jc w:val="left"/>
            </w:pPr>
            <w:r>
              <w:t xml:space="preserve">Amount (NGN)</w:t>
            </w:r>
          </w:p>
        </w:tc>
      </w:tr>
      <w:tr>
        <w:tc>
          <w:tcPr/>
          <w:p>
            <w:pPr>
              <w:pStyle w:val="Compact"/>
              <w:jc w:val="left"/>
            </w:pPr>
            <w:r>
              <w:t xml:space="preserve">1</w:t>
            </w:r>
          </w:p>
        </w:tc>
        <w:tc>
          <w:tcPr/>
          <w:p>
            <w:pPr>
              <w:pStyle w:val="Compact"/>
              <w:jc w:val="left"/>
            </w:pPr>
            <w:r>
              <w:t xml:space="preserve">Senior Petroleum Engineer – Monthly Retainer (Reservoir &amp; Production Analysis)</w:t>
            </w:r>
          </w:p>
        </w:tc>
        <w:tc>
          <w:tcPr/>
          <w:p>
            <w:pPr>
              <w:pStyle w:val="Compact"/>
              <w:jc w:val="left"/>
            </w:pPr>
            <w:r>
              <w:t xml:space="preserve">12 Months</w:t>
            </w:r>
          </w:p>
        </w:tc>
        <w:tc>
          <w:tcPr/>
          <w:p>
            <w:pPr>
              <w:pStyle w:val="Compact"/>
              <w:jc w:val="left"/>
            </w:pPr>
            <w:r>
              <w:t xml:space="preserve">4,500,000</w:t>
            </w:r>
          </w:p>
        </w:tc>
        <w:tc>
          <w:tcPr/>
          <w:p>
            <w:pPr>
              <w:pStyle w:val="Compact"/>
              <w:jc w:val="left"/>
            </w:pPr>
            <w:r>
              <w:t xml:space="preserve">54,000,000</w:t>
            </w:r>
          </w:p>
        </w:tc>
      </w:tr>
      <w:tr>
        <w:tc>
          <w:tcPr/>
          <w:p>
            <w:pPr>
              <w:pStyle w:val="Compact"/>
              <w:jc w:val="left"/>
            </w:pPr>
            <w:r>
              <w:t xml:space="preserve">2</w:t>
            </w:r>
          </w:p>
        </w:tc>
        <w:tc>
          <w:tcPr/>
          <w:p>
            <w:pPr>
              <w:pStyle w:val="Compact"/>
              <w:jc w:val="left"/>
            </w:pPr>
            <w:r>
              <w:t xml:space="preserve">Wellbore Integrity &amp; Completion Review (per well, up to 10 wells)</w:t>
            </w:r>
          </w:p>
        </w:tc>
        <w:tc>
          <w:tcPr/>
          <w:p>
            <w:pPr>
              <w:pStyle w:val="Compact"/>
              <w:jc w:val="left"/>
            </w:pPr>
            <w:r>
              <w:t xml:space="preserve">One-off</w:t>
            </w:r>
          </w:p>
        </w:tc>
        <w:tc>
          <w:tcPr/>
          <w:p>
            <w:pPr>
              <w:pStyle w:val="Compact"/>
              <w:jc w:val="left"/>
            </w:pPr>
            <w:r>
              <w:t xml:space="preserve">850,000</w:t>
            </w:r>
          </w:p>
        </w:tc>
        <w:tc>
          <w:tcPr/>
          <w:p>
            <w:pPr>
              <w:pStyle w:val="Compact"/>
              <w:jc w:val="left"/>
            </w:pPr>
            <w:r>
              <w:t xml:space="preserve">8,500,000</w:t>
            </w:r>
          </w:p>
        </w:tc>
      </w:tr>
      <w:tr>
        <w:tc>
          <w:tcPr/>
          <w:p>
            <w:pPr>
              <w:pStyle w:val="Compact"/>
              <w:jc w:val="left"/>
            </w:pPr>
            <w:r>
              <w:t xml:space="preserve">3</w:t>
            </w:r>
          </w:p>
        </w:tc>
        <w:tc>
          <w:tcPr/>
          <w:p>
            <w:pPr>
              <w:pStyle w:val="Compact"/>
              <w:jc w:val="left"/>
            </w:pPr>
            <w:r>
              <w:t xml:space="preserve">Production Optimization &amp; Artificial Lift Feasibility Study</w:t>
            </w:r>
          </w:p>
        </w:tc>
        <w:tc>
          <w:tcPr/>
          <w:p>
            <w:pPr>
              <w:pStyle w:val="Compact"/>
              <w:jc w:val="left"/>
            </w:pPr>
            <w:r>
              <w:t xml:space="preserve">3 Months</w:t>
            </w:r>
          </w:p>
        </w:tc>
        <w:tc>
          <w:tcPr/>
          <w:p>
            <w:pPr>
              <w:pStyle w:val="Compact"/>
              <w:jc w:val="left"/>
            </w:pPr>
            <w:r>
              <w:t xml:space="preserve">1,200,000</w:t>
            </w:r>
          </w:p>
        </w:tc>
        <w:tc>
          <w:tcPr/>
          <w:p>
            <w:pPr>
              <w:pStyle w:val="Compact"/>
              <w:jc w:val="left"/>
            </w:pPr>
            <w:r>
              <w:t xml:space="preserve">3,600,000</w:t>
            </w:r>
          </w:p>
        </w:tc>
      </w:tr>
      <w:tr>
        <w:tc>
          <w:tcPr/>
          <w:p>
            <w:pPr>
              <w:pStyle w:val="Compact"/>
              <w:jc w:val="left"/>
            </w:pPr>
            <w:r>
              <w:t xml:space="preserve">4</w:t>
            </w:r>
          </w:p>
        </w:tc>
        <w:tc>
          <w:tcPr/>
          <w:p>
            <w:pPr>
              <w:pStyle w:val="Compact"/>
              <w:jc w:val="left"/>
            </w:pPr>
            <w:r>
              <w:t xml:space="preserve">Quarterly Reservoir Surveillance &amp; Forecast Reports (4 reports)</w:t>
            </w:r>
          </w:p>
        </w:tc>
        <w:tc>
          <w:tcPr/>
          <w:p>
            <w:pPr>
              <w:pStyle w:val="Compact"/>
              <w:jc w:val="left"/>
            </w:pPr>
            <w:r>
              <w:t xml:space="preserve">12 Months</w:t>
            </w:r>
          </w:p>
        </w:tc>
        <w:tc>
          <w:tcPr/>
          <w:p>
            <w:pPr>
              <w:pStyle w:val="Compact"/>
              <w:jc w:val="left"/>
            </w:pPr>
            <w:r>
              <w:t xml:space="preserve">650,000</w:t>
            </w:r>
          </w:p>
        </w:tc>
        <w:tc>
          <w:tcPr/>
          <w:p>
            <w:pPr>
              <w:pStyle w:val="Compact"/>
              <w:jc w:val="left"/>
            </w:pPr>
            <w:r>
              <w:t xml:space="preserve">2,600,000</w:t>
            </w:r>
          </w:p>
        </w:tc>
      </w:tr>
      <w:tr>
        <w:tc>
          <w:tcPr/>
          <w:p>
            <w:pPr>
              <w:pStyle w:val="Compact"/>
              <w:jc w:val="left"/>
            </w:pPr>
            <w:r>
              <w:t xml:space="preserve">5</w:t>
            </w:r>
          </w:p>
        </w:tc>
        <w:tc>
          <w:tcPr/>
          <w:p>
            <w:pPr>
              <w:pStyle w:val="Compact"/>
              <w:jc w:val="left"/>
            </w:pPr>
            <w:r>
              <w:t xml:space="preserve">Technical Training &amp; Capacity Building for Client Staff (2 sessions)</w:t>
            </w:r>
          </w:p>
        </w:tc>
        <w:tc>
          <w:tcPr/>
          <w:p>
            <w:pPr>
              <w:pStyle w:val="Compact"/>
              <w:jc w:val="left"/>
            </w:pPr>
            <w:r>
              <w:t xml:space="preserve">One-off</w:t>
            </w:r>
          </w:p>
        </w:tc>
        <w:tc>
          <w:tcPr/>
          <w:p>
            <w:pPr>
              <w:pStyle w:val="Compact"/>
              <w:jc w:val="left"/>
            </w:pPr>
            <w:r>
              <w:t xml:space="preserve">400,000</w:t>
            </w:r>
          </w:p>
        </w:tc>
        <w:tc>
          <w:tcPr/>
          <w:p>
            <w:pPr>
              <w:pStyle w:val="Compact"/>
              <w:jc w:val="left"/>
            </w:pPr>
            <w:r>
              <w:t xml:space="preserve">800,000</w:t>
            </w:r>
          </w:p>
        </w:tc>
      </w:tr>
      <w:tr>
        <w:tc>
          <w:tcPr/>
          <w:p>
            <w:pPr>
              <w:pStyle w:val="Compact"/>
              <w:jc w:val="left"/>
            </w:pPr>
            <w:r>
              <w:t xml:space="preserve">6</w:t>
            </w:r>
          </w:p>
        </w:tc>
        <w:tc>
          <w:tcPr/>
          <w:p>
            <w:pPr>
              <w:pStyle w:val="Compact"/>
              <w:jc w:val="left"/>
            </w:pPr>
            <w:r>
              <w:t xml:space="preserve">Travel, Accommodation &amp; Logistics within Nigeria Lagos Metropolitan Area</w:t>
            </w:r>
          </w:p>
        </w:tc>
        <w:tc>
          <w:tcPr/>
          <w:p>
            <w:pPr>
              <w:pStyle w:val="Compact"/>
              <w:jc w:val="left"/>
            </w:pPr>
            <w:r>
              <w:t xml:space="preserve">12 Months</w:t>
            </w:r>
          </w:p>
        </w:tc>
        <w:tc>
          <w:tcPr/>
          <w:p>
            <w:pPr>
              <w:pStyle w:val="Compact"/>
              <w:jc w:val="left"/>
            </w:pPr>
            <w:r>
              <w:t xml:space="preserve">350,000</w:t>
            </w:r>
          </w:p>
        </w:tc>
        <w:tc>
          <w:tcPr/>
          <w:p>
            <w:pPr>
              <w:pStyle w:val="Compact"/>
              <w:jc w:val="left"/>
            </w:pPr>
            <w:r>
              <w:t xml:space="preserve">4,200,000</w:t>
            </w:r>
          </w:p>
        </w:tc>
      </w:tr>
      <w:tr>
        <w:tc>
          <w:tcPr/>
          <w:p>
            <w:pPr>
              <w:pStyle w:val="Compact"/>
              <w:jc w:val="left"/>
            </w:pPr>
            <w:r>
              <w:t xml:space="preserve">7</w:t>
            </w:r>
          </w:p>
        </w:tc>
        <w:tc>
          <w:tcPr/>
          <w:p>
            <w:pPr>
              <w:pStyle w:val="Compact"/>
              <w:jc w:val="left"/>
            </w:pPr>
            <w:r>
              <w:t xml:space="preserve">Software Licensing (Petrel, CMG, and Nodal Analysis Tools)</w:t>
            </w:r>
          </w:p>
        </w:tc>
        <w:tc>
          <w:tcPr/>
          <w:p>
            <w:pPr>
              <w:pStyle w:val="Compact"/>
              <w:jc w:val="left"/>
            </w:pPr>
            <w:r>
              <w:t xml:space="preserve">12 Months</w:t>
            </w:r>
          </w:p>
        </w:tc>
        <w:tc>
          <w:tcPr/>
          <w:p>
            <w:pPr>
              <w:pStyle w:val="Compact"/>
              <w:jc w:val="left"/>
            </w:pPr>
            <w:r>
              <w:t xml:space="preserve">1,800,000</w:t>
            </w:r>
          </w:p>
        </w:tc>
        <w:tc>
          <w:tcPr/>
          <w:p>
            <w:pPr>
              <w:pStyle w:val="Compact"/>
              <w:jc w:val="left"/>
            </w:pPr>
            <w:r>
              <w:t xml:space="preserve">1,800,000</w:t>
            </w:r>
          </w:p>
        </w:tc>
      </w:tr>
      <w:tr>
        <w:tc>
          <w:tcPr/>
          <w:p>
            <w:pPr>
              <w:pStyle w:val="Compact"/>
              <w:jc w:val="left"/>
            </w:pPr>
            <w:r>
              <w:t xml:space="preserve">8</w:t>
            </w:r>
          </w:p>
        </w:tc>
        <w:tc>
          <w:tcPr/>
          <w:p>
            <w:pPr>
              <w:pStyle w:val="Compact"/>
              <w:jc w:val="left"/>
            </w:pPr>
            <w:r>
              <w:t xml:space="preserve">Project Management &amp; Administrative Overhead (10%)</w:t>
            </w:r>
          </w:p>
        </w:tc>
        <w:tc>
          <w:tcPr/>
          <w:p>
            <w:pPr>
              <w:pStyle w:val="Compact"/>
              <w:jc w:val="left"/>
            </w:pPr>
            <w:r>
              <w:t xml:space="preserve">12 Months</w:t>
            </w:r>
          </w:p>
        </w:tc>
        <w:tc>
          <w:tcPr/>
          <w:p>
            <w:pPr>
              <w:pStyle w:val="Compact"/>
              <w:jc w:val="left"/>
            </w:pPr>
            <w:r>
              <w:t xml:space="preserve">—</w:t>
            </w:r>
          </w:p>
        </w:tc>
        <w:tc>
          <w:tcPr/>
          <w:p>
            <w:pPr>
              <w:pStyle w:val="Compact"/>
              <w:jc w:val="left"/>
            </w:pPr>
            <w:r>
              <w:t xml:space="preserve">7,550,000</w:t>
            </w:r>
          </w:p>
        </w:tc>
      </w:tr>
      <w:tr>
        <w:tc>
          <w:tcPr>
            <w:gridSpan w:val="4"/>
          </w:tcPr>
          <w:p>
            <w:pPr>
              <w:pStyle w:val="Compact"/>
              <w:jc w:val="right"/>
            </w:pPr>
            <w:r>
              <w:t xml:space="preserve">Subtotal (NGN)</w:t>
            </w:r>
          </w:p>
        </w:tc>
        <w:tc>
          <w:tcPr/>
          <w:p>
            <w:pPr>
              <w:pStyle w:val="Compact"/>
              <w:jc w:val="left"/>
            </w:pPr>
            <w:r>
              <w:t xml:space="preserve">83,050,000</w:t>
            </w:r>
          </w:p>
        </w:tc>
      </w:tr>
      <w:tr>
        <w:tc>
          <w:tcPr>
            <w:gridSpan w:val="4"/>
          </w:tcPr>
          <w:p>
            <w:pPr>
              <w:pStyle w:val="Compact"/>
              <w:jc w:val="right"/>
            </w:pPr>
            <w:r>
              <w:t xml:space="preserve">VAT @ 7.5% (NGN)</w:t>
            </w:r>
          </w:p>
        </w:tc>
        <w:tc>
          <w:tcPr/>
          <w:p>
            <w:pPr>
              <w:pStyle w:val="Compact"/>
              <w:jc w:val="left"/>
            </w:pPr>
            <w:r>
              <w:t xml:space="preserve">6,228,750</w:t>
            </w:r>
          </w:p>
        </w:tc>
      </w:tr>
      <w:tr>
        <w:tc>
          <w:tcPr>
            <w:gridSpan w:val="4"/>
          </w:tcPr>
          <w:p>
            <w:pPr>
              <w:pStyle w:val="Compact"/>
              <w:jc w:val="right"/>
            </w:pPr>
            <w:r>
              <w:t xml:space="preserve">GRAND TOTAL (NGN)</w:t>
            </w:r>
          </w:p>
        </w:tc>
        <w:tc>
          <w:tcPr/>
          <w:p>
            <w:pPr>
              <w:pStyle w:val="Compact"/>
              <w:jc w:val="left"/>
            </w:pPr>
            <w:r>
              <w:t xml:space="preserve">89,278,750</w:t>
            </w:r>
          </w:p>
        </w:tc>
      </w:tr>
    </w:tbl>
    <w:p>
      <w:pPr>
        <w:pStyle w:val="BodyText"/>
      </w:pPr>
      <w:r>
        <w:t xml:space="preserve">4. Payment Terms</w:t>
      </w:r>
    </w:p>
    <w:p>
      <w:pPr>
        <w:numPr>
          <w:ilvl w:val="0"/>
          <w:numId w:val="1001"/>
        </w:numPr>
        <w:pStyle w:val="Compact"/>
      </w:pPr>
      <w:r>
        <w:t xml:space="preserve">A mobilization advance of</w:t>
      </w:r>
      <w:r>
        <w:t xml:space="preserve"> </w:t>
      </w:r>
      <w:r>
        <w:rPr>
          <w:bCs/>
          <w:b/>
        </w:rPr>
        <w:t xml:space="preserve">30%</w:t>
      </w:r>
      <w:r>
        <w:t xml:space="preserve"> </w:t>
      </w:r>
      <w:r>
        <w:t xml:space="preserve">of the Grand Total (NGN 26,783,625) shall be payable within seven (7) working days of the signed acceptance of this Quotation Estimate.</w:t>
      </w:r>
    </w:p>
    <w:p>
      <w:pPr>
        <w:numPr>
          <w:ilvl w:val="0"/>
          <w:numId w:val="1001"/>
        </w:numPr>
        <w:pStyle w:val="Compact"/>
      </w:pPr>
      <w:r>
        <w:t xml:space="preserve">Monthly retainer payments for the Petroleum Engineer services shall be invoiced on the 25th of each month and are due within fourteen (14) calendar days of invoice receipt.</w:t>
      </w:r>
    </w:p>
    <w:p>
      <w:pPr>
        <w:numPr>
          <w:ilvl w:val="0"/>
          <w:numId w:val="1001"/>
        </w:numPr>
        <w:pStyle w:val="Compact"/>
      </w:pPr>
      <w:r>
        <w:t xml:space="preserve">One-off deliverables (wellbore reviews, optimization studies, training sessions) shall be invoiced upon client sign-off of the respective deliverable.</w:t>
      </w:r>
    </w:p>
    <w:p>
      <w:pPr>
        <w:numPr>
          <w:ilvl w:val="0"/>
          <w:numId w:val="1001"/>
        </w:numPr>
        <w:pStyle w:val="Compact"/>
      </w:pPr>
      <w:r>
        <w:t xml:space="preserve">All payments shall be made via bank transfer to the account details provided in the invoice. Late payments shall attract a penalty of 1.5% per month on the outstanding balance.</w:t>
      </w:r>
    </w:p>
    <w:p>
      <w:pPr>
        <w:pStyle w:val="FirstParagraph"/>
      </w:pPr>
      <w:r>
        <w:t xml:space="preserve">5. Terms and Conditions</w:t>
      </w:r>
    </w:p>
    <w:p>
      <w:pPr>
        <w:numPr>
          <w:ilvl w:val="0"/>
          <w:numId w:val="1002"/>
        </w:numPr>
        <w:pStyle w:val="Compact"/>
      </w:pPr>
      <w:r>
        <w:t xml:space="preserve">This Quotation Estimate is valid for thirty (30) days from the date of issue. Beyond this period, pricing may be revised to reflect prevailing market conditions in Nigeria Lagos.</w:t>
      </w:r>
    </w:p>
    <w:p>
      <w:pPr>
        <w:numPr>
          <w:ilvl w:val="0"/>
          <w:numId w:val="1002"/>
        </w:numPr>
        <w:pStyle w:val="Compact"/>
      </w:pPr>
      <w:r>
        <w:t xml:space="preserve">The Petroleum Engineer shall comply with all applicable Nigerian health, safety, and environmental regulations, including those enforced by the NUPRC and the Federal Ministry of Petroleum Resources.</w:t>
      </w:r>
    </w:p>
    <w:p>
      <w:pPr>
        <w:numPr>
          <w:ilvl w:val="0"/>
          <w:numId w:val="1002"/>
        </w:numPr>
        <w:pStyle w:val="Compact"/>
      </w:pPr>
      <w:r>
        <w:t xml:space="preserve">All data, reports, and intellectual property generated under this engagement shall remain the exclusive property of the client. The Petroleum Engineer shall sign a Non-Disclosure Agreement (NDA) prior to commencing work.</w:t>
      </w:r>
    </w:p>
    <w:p>
      <w:pPr>
        <w:numPr>
          <w:ilvl w:val="0"/>
          <w:numId w:val="1002"/>
        </w:numPr>
        <w:pStyle w:val="Compact"/>
      </w:pPr>
      <w:r>
        <w:t xml:space="preserve">DeepWell Engineering &amp; Consultancy Ltd. shall provide a replacement Petroleum Engineer of equivalent or superior qualification within five (5) working days should the assigned engineer become unavailable.</w:t>
      </w:r>
    </w:p>
    <w:p>
      <w:pPr>
        <w:numPr>
          <w:ilvl w:val="0"/>
          <w:numId w:val="1002"/>
        </w:numPr>
        <w:pStyle w:val="Compact"/>
      </w:pPr>
      <w:r>
        <w:t xml:space="preserve">Force majeure events, including but not limited to civil unrest, government-imposed shutdowns, or natural disasters affecting the Nigeria Lagos region, shall suspend obligations without penalty to either party.</w:t>
      </w:r>
    </w:p>
    <w:p>
      <w:pPr>
        <w:numPr>
          <w:ilvl w:val="0"/>
          <w:numId w:val="1002"/>
        </w:numPr>
        <w:pStyle w:val="Compact"/>
      </w:pPr>
      <w:r>
        <w:t xml:space="preserve">Disputes arising from this Quotation Estimate shall be resolved through arbitration in Lagos, Nigeria, in accordance with the Arbitration and Conciliation Act, Cap A18, Laws of the Federation of Nigeria 2004.</w:t>
      </w:r>
    </w:p>
    <w:p>
      <w:pPr>
        <w:numPr>
          <w:ilvl w:val="0"/>
          <w:numId w:val="1002"/>
        </w:numPr>
        <w:pStyle w:val="Compact"/>
      </w:pPr>
      <w:r>
        <w:t xml:space="preserve">This Quotation Estimate does not constitute a binding contract until countersigned by both parties and the mobilization advance has been received.</w:t>
      </w:r>
    </w:p>
    <w:p>
      <w:pPr>
        <w:pStyle w:val="FirstParagraph"/>
      </w:pPr>
      <w:r>
        <w:t xml:space="preserve">6. Acceptance and Authorization</w:t>
      </w:r>
    </w:p>
    <w:bookmarkStart w:id="21" w:name="Xfac1df07e148eb9018056451d78796fd122eaa7"/>
    <w:p>
      <w:pPr>
        <w:pStyle w:val="Heading4"/>
      </w:pPr>
      <w:r>
        <w:t xml:space="preserve">For: DeepWell Engineering &amp; Consultancy Ltd.</w:t>
      </w:r>
    </w:p>
    <w:p>
      <w:pPr>
        <w:pStyle w:val="FirstParagraph"/>
      </w:pPr>
      <w:r>
        <w:t xml:space="preserve">Name: Engr. Chukwuma Eze</w:t>
      </w:r>
    </w:p>
    <w:p>
      <w:pPr>
        <w:pStyle w:val="BodyText"/>
      </w:pPr>
      <w:r>
        <w:t xml:space="preserve">Title: Managing Director</w:t>
      </w:r>
    </w:p>
    <w:p>
      <w:pPr>
        <w:pStyle w:val="BodyText"/>
      </w:pPr>
      <w:r>
        <w:t xml:space="preserve">Signature &amp; Date</w:t>
      </w:r>
    </w:p>
    <w:bookmarkEnd w:id="21"/>
    <w:bookmarkStart w:id="22" w:name="for-niger-delta-energy-ventures-plc."/>
    <w:p>
      <w:pPr>
        <w:pStyle w:val="Heading4"/>
      </w:pPr>
      <w:r>
        <w:t xml:space="preserve">For: Niger Delta Energy Ventures Plc.</w:t>
      </w:r>
    </w:p>
    <w:p>
      <w:pPr>
        <w:pStyle w:val="FirstParagraph"/>
      </w:pPr>
      <w:r>
        <w:t xml:space="preserve">Name: Engr. Adewale Okafor</w:t>
      </w:r>
    </w:p>
    <w:p>
      <w:pPr>
        <w:pStyle w:val="BodyText"/>
      </w:pPr>
      <w:r>
        <w:t xml:space="preserve">Title: Head of Reservoir Engineering</w:t>
      </w:r>
    </w:p>
    <w:p>
      <w:pPr>
        <w:pStyle w:val="BodyText"/>
      </w:pPr>
      <w:r>
        <w:t xml:space="preserve">Signature &amp; Date</w:t>
      </w:r>
    </w:p>
    <w:bookmarkEnd w:id="22"/>
    <w:p>
      <w:pPr>
        <w:pStyle w:val="BodyText"/>
      </w:pPr>
      <w:r>
        <w:t xml:space="preserve">This Quotation Estimate for Petroleum Engineer services in Nigeria Lagos was prepared by DeepWell Engineering &amp; Consultancy Ltd. All figures are stated in Nigerian Naira (NGN). This document is confidential and intended solely for the named client. Unauthorized reproduction or distribution is strictly prohibited.</w:t>
      </w:r>
    </w:p>
    <w:p>
      <w:pPr>
        <w:pStyle w:val="BodyText"/>
      </w:pPr>
      <w:r>
        <w:t xml:space="preserve">© 2025 DeepWell Engineering &amp; Consultancy Ltd. | RC 1284576 | Lagos, Nigeria</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Petroleum Engineer Services - Nigeria Lagos</dc:title>
  <dc:creator/>
  <dc:language>en</dc:language>
  <cp:keywords/>
  <dcterms:created xsi:type="dcterms:W3CDTF">2026-10-10T06:27:32Z</dcterms:created>
  <dcterms:modified xsi:type="dcterms:W3CDTF">2026-10-10T06:27:32Z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