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quotation-estimate"/>
    <w:p>
      <w:pPr>
        <w:pStyle w:val="Heading1"/>
      </w:pPr>
      <w:r>
        <w:t xml:space="preserve">Quotation Estimate</w:t>
      </w:r>
    </w:p>
    <w:p>
      <w:pPr>
        <w:pStyle w:val="FirstParagraph"/>
      </w:pPr>
      <w:r>
        <w:t xml:space="preserve">Professional Petroleum Engineer Services</w:t>
      </w:r>
    </w:p>
    <w:p>
      <w:pPr>
        <w:pStyle w:val="BodyText"/>
      </w:pPr>
      <w:r>
        <w:t xml:space="preserve">Saudi Arabia Riyadh | Kingdom of Saudi Arabia</w:t>
      </w:r>
    </w:p>
    <w:p>
      <w:pPr>
        <w:pStyle w:val="BodyText"/>
      </w:pPr>
      <w:r>
        <w:t xml:space="preserve">Document Ref: QTE-2025-RYD-PE-0047 | Date: 15 June 2025 | Valid Until: 15 September 2025</w:t>
      </w:r>
    </w:p>
    <w:bookmarkEnd w:id="20"/>
    <w:bookmarkStart w:id="21" w:name="prepared-by"/>
    <w:p>
      <w:pPr>
        <w:pStyle w:val="Heading3"/>
      </w:pPr>
      <w:r>
        <w:t xml:space="preserve">Prepared By</w:t>
      </w:r>
    </w:p>
    <w:p>
      <w:pPr>
        <w:pStyle w:val="FirstParagraph"/>
      </w:pPr>
      <w:r>
        <w:rPr>
          <w:bCs/>
          <w:b/>
        </w:rPr>
        <w:t xml:space="preserve">Al-Riyadh Energy Solutions Ltd.</w:t>
      </w:r>
    </w:p>
    <w:p>
      <w:pPr>
        <w:pStyle w:val="BodyText"/>
      </w:pPr>
      <w:r>
        <w:t xml:space="preserve">King Fahd Road, Al Olaya District</w:t>
      </w:r>
    </w:p>
    <w:p>
      <w:pPr>
        <w:pStyle w:val="BodyText"/>
      </w:pPr>
      <w:r>
        <w:t xml:space="preserve">Riyadh 12213, Saudi Arabia</w:t>
      </w:r>
    </w:p>
    <w:p>
      <w:pPr>
        <w:pStyle w:val="BodyText"/>
      </w:pPr>
      <w:r>
        <w:t xml:space="preserve">Tel: +966 11 456 7890</w:t>
      </w:r>
    </w:p>
    <w:p>
      <w:pPr>
        <w:pStyle w:val="BodyText"/>
      </w:pPr>
      <w:r>
        <w:t xml:space="preserve">Email: quotations@alriyadhenergy.sa</w:t>
      </w:r>
    </w:p>
    <w:p>
      <w:pPr>
        <w:pStyle w:val="BodyText"/>
      </w:pPr>
      <w:r>
        <w:t xml:space="preserve">CR: 1010XXXXXX | VAT: 310XXXXXXX</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Company Name]</w:t>
      </w:r>
    </w:p>
    <w:p>
      <w:pPr>
        <w:pStyle w:val="BodyText"/>
      </w:pPr>
      <w:r>
        <w:rPr>
          <w:bCs/>
          <w:b/>
        </w:rPr>
        <w:t xml:space="preserve">Project Site:</w:t>
      </w:r>
      <w:r>
        <w:t xml:space="preserve"> </w:t>
      </w:r>
      <w:r>
        <w:t xml:space="preserve">Riyadh, Saudi Arabia</w:t>
      </w:r>
    </w:p>
    <w:p>
      <w:pPr>
        <w:pStyle w:val="BodyText"/>
      </w:pPr>
      <w:r>
        <w:rPr>
          <w:bCs/>
          <w:b/>
        </w:rPr>
        <w:t xml:space="preserve">Attn:</w:t>
      </w:r>
      <w:r>
        <w:t xml:space="preserve"> </w:t>
      </w:r>
      <w:r>
        <w:t xml:space="preserve">[Contact Person]</w:t>
      </w:r>
    </w:p>
    <w:p>
      <w:pPr>
        <w:pStyle w:val="BodyText"/>
      </w:pPr>
      <w:r>
        <w:rPr>
          <w:bCs/>
          <w:b/>
        </w:rPr>
        <w:t xml:space="preserve">Phone:</w:t>
      </w:r>
      <w:r>
        <w:t xml:space="preserve"> </w:t>
      </w:r>
      <w:r>
        <w:t xml:space="preserve">[Client Phone]</w:t>
      </w:r>
    </w:p>
    <w:p>
      <w:pPr>
        <w:pStyle w:val="BodyText"/>
      </w:pPr>
      <w:r>
        <w:rPr>
          <w:bCs/>
          <w:b/>
        </w:rPr>
        <w:t xml:space="preserve">Email:</w:t>
      </w:r>
      <w:r>
        <w:t xml:space="preserve"> </w:t>
      </w:r>
      <w:r>
        <w:t xml:space="preserve">[Client Email]</w:t>
      </w:r>
    </w:p>
    <w:bookmarkEnd w:id="22"/>
    <w:bookmarkStart w:id="23"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formally issued by Al-Riyadh Energy Solutions Ltd. to provide comprehensive professional services of a qualified</w:t>
      </w:r>
      <w:r>
        <w:t xml:space="preserve"> </w:t>
      </w:r>
      <w:r>
        <w:t xml:space="preserve">Petroleum Engineer</w:t>
      </w:r>
      <w:r>
        <w:t xml:space="preserve"> </w:t>
      </w:r>
      <w:r>
        <w:t xml:space="preserve">for operations and project support within the city of</w:t>
      </w:r>
      <w:r>
        <w:t xml:space="preserve"> </w:t>
      </w:r>
      <w:r>
        <w:t xml:space="preserve">Saudi Arabia Riyadh</w:t>
      </w:r>
      <w:r>
        <w:t xml:space="preserve"> </w:t>
      </w:r>
      <w:r>
        <w:t xml:space="preserve">and its surrounding industrial zones. This document outlines the full scope of engineering services, associated costs, delivery timelines, and contractual terms governing the engagement. The</w:t>
      </w:r>
      <w:r>
        <w:t xml:space="preserve"> </w:t>
      </w:r>
      <w:r>
        <w:t xml:space="preserve">Petroleum Engineer</w:t>
      </w:r>
      <w:r>
        <w:t xml:space="preserve"> </w:t>
      </w:r>
      <w:r>
        <w:t xml:space="preserve">services described herein are tailored to meet the operational requirements of oil and gas exploration, production, and reservoir management activities conducted in the Riyadh metropolitan area and adjacent fields.</w:t>
      </w:r>
    </w:p>
    <w:bookmarkEnd w:id="23"/>
    <w:bookmarkStart w:id="24" w:name="scope-of-services-petroleum-engineer"/>
    <w:p>
      <w:pPr>
        <w:pStyle w:val="Heading2"/>
      </w:pPr>
      <w:r>
        <w:t xml:space="preserve">2. Scope of Services – Petroleum Engineer</w:t>
      </w:r>
    </w:p>
    <w:p>
      <w:pPr>
        <w:pStyle w:val="FirstParagraph"/>
      </w:pPr>
      <w:r>
        <w:t xml:space="preserve">The</w:t>
      </w:r>
      <w:r>
        <w:t xml:space="preserve"> </w:t>
      </w:r>
      <w:r>
        <w:t xml:space="preserve">Petroleum Engineer</w:t>
      </w:r>
      <w:r>
        <w:t xml:space="preserve"> </w:t>
      </w:r>
      <w:r>
        <w:t xml:space="preserve">engaged under this</w:t>
      </w:r>
      <w:r>
        <w:t xml:space="preserve"> </w:t>
      </w:r>
      <w:r>
        <w:t xml:space="preserve">Quotation Estimate</w:t>
      </w:r>
      <w:r>
        <w:t xml:space="preserve"> </w:t>
      </w:r>
      <w:r>
        <w:t xml:space="preserve">shall deliver the following professional services in</w:t>
      </w:r>
      <w:r>
        <w:t xml:space="preserve"> </w:t>
      </w:r>
      <w:r>
        <w:t xml:space="preserve">Saudi Arabia Riyadh</w:t>
      </w:r>
      <w:r>
        <w:t xml:space="preser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Rate (SAR)</w:t>
            </w:r>
          </w:p>
        </w:tc>
        <w:tc>
          <w:tcPr/>
          <w:p>
            <w:pPr>
              <w:pStyle w:val="Compact"/>
              <w:jc w:val="left"/>
            </w:pPr>
            <w:r>
              <w:t xml:space="preserve">Amount (SAR)</w:t>
            </w:r>
          </w:p>
        </w:tc>
      </w:tr>
      <w:tr>
        <w:tc>
          <w:tcPr/>
          <w:p>
            <w:pPr>
              <w:pStyle w:val="Compact"/>
              <w:jc w:val="left"/>
            </w:pPr>
            <w:r>
              <w:t xml:space="preserve">1.1</w:t>
            </w:r>
          </w:p>
        </w:tc>
        <w:tc>
          <w:tcPr/>
          <w:p>
            <w:pPr>
              <w:pStyle w:val="Compact"/>
              <w:jc w:val="left"/>
            </w:pPr>
            <w:r>
              <w:t xml:space="preserve">Reservoir Engineering Analysis &amp; Simulation – The</w:t>
            </w:r>
            <w:r>
              <w:t xml:space="preserve"> </w:t>
            </w:r>
            <w:r>
              <w:t xml:space="preserve">Petroleum Engineer</w:t>
            </w:r>
            <w:r>
              <w:t xml:space="preserve"> </w:t>
            </w:r>
            <w:r>
              <w:t xml:space="preserve">shall conduct full reservoir characterization, pressure depletion modeling, and production forecasting for client-operated wells in the Riyadh region.</w:t>
            </w:r>
          </w:p>
        </w:tc>
        <w:tc>
          <w:tcPr/>
          <w:p>
            <w:pPr>
              <w:pStyle w:val="Compact"/>
              <w:jc w:val="left"/>
            </w:pPr>
            <w:r>
              <w:t xml:space="preserve">3 Months</w:t>
            </w:r>
          </w:p>
        </w:tc>
        <w:tc>
          <w:tcPr/>
          <w:p>
            <w:pPr>
              <w:pStyle w:val="Compact"/>
              <w:jc w:val="left"/>
            </w:pPr>
            <w:r>
              <w:t xml:space="preserve">Month</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1.2</w:t>
            </w:r>
          </w:p>
        </w:tc>
        <w:tc>
          <w:tcPr/>
          <w:p>
            <w:pPr>
              <w:pStyle w:val="Compact"/>
              <w:jc w:val="left"/>
            </w:pPr>
            <w:r>
              <w:t xml:space="preserve">Well Performance Optimization &amp; Completion Design – Design and review of well completions, artificial lift systems, and stimulation programs for producing assets in</w:t>
            </w:r>
            <w:r>
              <w:t xml:space="preserve"> </w:t>
            </w:r>
            <w:r>
              <w:t xml:space="preserve">Saudi Arabia Riyadh</w:t>
            </w:r>
            <w:r>
              <w:t xml:space="preserve">.</w:t>
            </w:r>
          </w:p>
        </w:tc>
        <w:tc>
          <w:tcPr/>
          <w:p>
            <w:pPr>
              <w:pStyle w:val="Compact"/>
              <w:jc w:val="left"/>
            </w:pPr>
            <w:r>
              <w:t xml:space="preserve">2 Months</w:t>
            </w:r>
          </w:p>
        </w:tc>
        <w:tc>
          <w:tcPr/>
          <w:p>
            <w:pPr>
              <w:pStyle w:val="Compact"/>
              <w:jc w:val="left"/>
            </w:pPr>
            <w:r>
              <w:t xml:space="preserve">Month</w:t>
            </w:r>
          </w:p>
        </w:tc>
        <w:tc>
          <w:tcPr/>
          <w:p>
            <w:pPr>
              <w:pStyle w:val="Compact"/>
              <w:jc w:val="left"/>
            </w:pPr>
            <w:r>
              <w:t xml:space="preserve">38,000</w:t>
            </w:r>
          </w:p>
        </w:tc>
        <w:tc>
          <w:tcPr/>
          <w:p>
            <w:pPr>
              <w:pStyle w:val="Compact"/>
              <w:jc w:val="left"/>
            </w:pPr>
            <w:r>
              <w:t xml:space="preserve">76,000</w:t>
            </w:r>
          </w:p>
        </w:tc>
      </w:tr>
      <w:tr>
        <w:tc>
          <w:tcPr/>
          <w:p>
            <w:pPr>
              <w:pStyle w:val="Compact"/>
              <w:jc w:val="left"/>
            </w:pPr>
            <w:r>
              <w:t xml:space="preserve">1.3</w:t>
            </w:r>
          </w:p>
        </w:tc>
        <w:tc>
          <w:tcPr/>
          <w:p>
            <w:pPr>
              <w:pStyle w:val="Compact"/>
              <w:jc w:val="left"/>
            </w:pPr>
            <w:r>
              <w:t xml:space="preserve">Drilling Engineering Support – Technical oversight, kick-off meetings, and real-time drilling parameter monitoring for directional and horizontal wells.</w:t>
            </w:r>
          </w:p>
        </w:tc>
        <w:tc>
          <w:tcPr/>
          <w:p>
            <w:pPr>
              <w:pStyle w:val="Compact"/>
              <w:jc w:val="left"/>
            </w:pPr>
            <w:r>
              <w:t xml:space="preserve">4 Months</w:t>
            </w:r>
          </w:p>
        </w:tc>
        <w:tc>
          <w:tcPr/>
          <w:p>
            <w:pPr>
              <w:pStyle w:val="Compact"/>
              <w:jc w:val="left"/>
            </w:pPr>
            <w:r>
              <w:t xml:space="preserve">Month</w:t>
            </w:r>
          </w:p>
        </w:tc>
        <w:tc>
          <w:tcPr/>
          <w:p>
            <w:pPr>
              <w:pStyle w:val="Compact"/>
              <w:jc w:val="left"/>
            </w:pPr>
            <w:r>
              <w:t xml:space="preserve">42,000</w:t>
            </w:r>
          </w:p>
        </w:tc>
        <w:tc>
          <w:tcPr/>
          <w:p>
            <w:pPr>
              <w:pStyle w:val="Compact"/>
              <w:jc w:val="left"/>
            </w:pPr>
            <w:r>
              <w:t xml:space="preserve">168,000</w:t>
            </w:r>
          </w:p>
        </w:tc>
      </w:tr>
      <w:tr>
        <w:tc>
          <w:tcPr/>
          <w:p>
            <w:pPr>
              <w:pStyle w:val="Compact"/>
              <w:jc w:val="left"/>
            </w:pPr>
            <w:r>
              <w:t xml:space="preserve">1.4</w:t>
            </w:r>
          </w:p>
        </w:tc>
        <w:tc>
          <w:tcPr/>
          <w:p>
            <w:pPr>
              <w:pStyle w:val="Compact"/>
              <w:jc w:val="left"/>
            </w:pPr>
            <w:r>
              <w:t xml:space="preserve">Production Data Analysis &amp; Monthly Reporting – Compilation of daily production reports, decline curve analysis, and monthly technical summaries delivered to client management in Riyadh.</w:t>
            </w:r>
          </w:p>
        </w:tc>
        <w:tc>
          <w:tcPr/>
          <w:p>
            <w:pPr>
              <w:pStyle w:val="Compact"/>
              <w:jc w:val="left"/>
            </w:pPr>
            <w:r>
              <w:t xml:space="preserve">12 Months</w:t>
            </w:r>
          </w:p>
        </w:tc>
        <w:tc>
          <w:tcPr/>
          <w:p>
            <w:pPr>
              <w:pStyle w:val="Compact"/>
              <w:jc w:val="left"/>
            </w:pPr>
            <w:r>
              <w:t xml:space="preserve">Month</w:t>
            </w:r>
          </w:p>
        </w:tc>
        <w:tc>
          <w:tcPr/>
          <w:p>
            <w:pPr>
              <w:pStyle w:val="Compact"/>
              <w:jc w:val="left"/>
            </w:pPr>
            <w:r>
              <w:t xml:space="preserve">18,000</w:t>
            </w:r>
          </w:p>
        </w:tc>
        <w:tc>
          <w:tcPr/>
          <w:p>
            <w:pPr>
              <w:pStyle w:val="Compact"/>
              <w:jc w:val="left"/>
            </w:pPr>
            <w:r>
              <w:t xml:space="preserve">216,000</w:t>
            </w:r>
          </w:p>
        </w:tc>
      </w:tr>
      <w:tr>
        <w:tc>
          <w:tcPr/>
          <w:p>
            <w:pPr>
              <w:pStyle w:val="Compact"/>
              <w:jc w:val="left"/>
            </w:pPr>
            <w:r>
              <w:t xml:space="preserve">1.5</w:t>
            </w:r>
          </w:p>
        </w:tc>
        <w:tc>
          <w:tcPr/>
          <w:p>
            <w:pPr>
              <w:pStyle w:val="Compact"/>
              <w:jc w:val="left"/>
            </w:pPr>
            <w:r>
              <w:t xml:space="preserve">Technical Due Diligence &amp; Asset Valuation – Comprehensive engineering assessment of existing oil and gas assets for investment or divestment purposes in</w:t>
            </w:r>
            <w:r>
              <w:t xml:space="preserve"> </w:t>
            </w:r>
            <w:r>
              <w:t xml:space="preserve">Saudi Arabia Riyadh</w:t>
            </w:r>
            <w:r>
              <w:t xml:space="preserve">.</w:t>
            </w:r>
          </w:p>
        </w:tc>
        <w:tc>
          <w:tcPr/>
          <w:p>
            <w:pPr>
              <w:pStyle w:val="Compact"/>
              <w:jc w:val="left"/>
            </w:pPr>
            <w:r>
              <w:t xml:space="preserve">1 Month</w:t>
            </w:r>
          </w:p>
        </w:tc>
        <w:tc>
          <w:tcPr/>
          <w:p>
            <w:pPr>
              <w:pStyle w:val="Compact"/>
              <w:jc w:val="left"/>
            </w:pPr>
            <w:r>
              <w:t xml:space="preserve">Project</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1.6</w:t>
            </w:r>
          </w:p>
        </w:tc>
        <w:tc>
          <w:tcPr/>
          <w:p>
            <w:pPr>
              <w:pStyle w:val="Compact"/>
              <w:jc w:val="left"/>
            </w:pPr>
            <w:r>
              <w:t xml:space="preserve">Regulatory Compliance &amp; Permitting Support – Liaison with Saudi Aramco, Ministry of Energy, and local Riyadh municipal authorities for environmental permits and operational clearances.</w:t>
            </w:r>
          </w:p>
        </w:tc>
        <w:tc>
          <w:tcPr/>
          <w:p>
            <w:pPr>
              <w:pStyle w:val="Compact"/>
              <w:jc w:val="left"/>
            </w:pPr>
            <w:r>
              <w:t xml:space="preserve">6 Months</w:t>
            </w:r>
          </w:p>
        </w:tc>
        <w:tc>
          <w:tcPr/>
          <w:p>
            <w:pPr>
              <w:pStyle w:val="Compact"/>
              <w:jc w:val="left"/>
            </w:pPr>
            <w:r>
              <w:t xml:space="preserve">Month</w:t>
            </w:r>
          </w:p>
        </w:tc>
        <w:tc>
          <w:tcPr/>
          <w:p>
            <w:pPr>
              <w:pStyle w:val="Compact"/>
              <w:jc w:val="left"/>
            </w:pPr>
            <w:r>
              <w:t xml:space="preserve">12,000</w:t>
            </w:r>
          </w:p>
        </w:tc>
        <w:tc>
          <w:tcPr/>
          <w:p>
            <w:pPr>
              <w:pStyle w:val="Compact"/>
              <w:jc w:val="left"/>
            </w:pPr>
            <w:r>
              <w:t xml:space="preserve">72,000</w:t>
            </w:r>
          </w:p>
        </w:tc>
      </w:tr>
      <w:tr>
        <w:tc>
          <w:tcPr/>
          <w:p>
            <w:pPr>
              <w:pStyle w:val="Compact"/>
              <w:jc w:val="left"/>
            </w:pPr>
            <w:r>
              <w:t xml:space="preserve">1.7</w:t>
            </w:r>
          </w:p>
        </w:tc>
        <w:tc>
          <w:tcPr/>
          <w:p>
            <w:pPr>
              <w:pStyle w:val="Compact"/>
              <w:jc w:val="left"/>
            </w:pPr>
            <w:r>
              <w:t xml:space="preserve">On-Site Supervision &amp; HSE Compliance – Daily presence at client facilities in Riyadh for safety audits, operational oversight, and incident reporting as required by Saudi labor and HSE regulations.</w:t>
            </w:r>
          </w:p>
        </w:tc>
        <w:tc>
          <w:tcPr/>
          <w:p>
            <w:pPr>
              <w:pStyle w:val="Compact"/>
              <w:jc w:val="left"/>
            </w:pPr>
            <w:r>
              <w:t xml:space="preserve">12 Months</w:t>
            </w:r>
          </w:p>
        </w:tc>
        <w:tc>
          <w:tcPr/>
          <w:p>
            <w:pPr>
              <w:pStyle w:val="Compact"/>
              <w:jc w:val="left"/>
            </w:pPr>
            <w:r>
              <w:t xml:space="preserve">Month</w:t>
            </w:r>
          </w:p>
        </w:tc>
        <w:tc>
          <w:tcPr/>
          <w:p>
            <w:pPr>
              <w:pStyle w:val="Compact"/>
              <w:jc w:val="left"/>
            </w:pPr>
            <w:r>
              <w:t xml:space="preserve">22,000</w:t>
            </w:r>
          </w:p>
        </w:tc>
        <w:tc>
          <w:tcPr/>
          <w:p>
            <w:pPr>
              <w:pStyle w:val="Compact"/>
              <w:jc w:val="left"/>
            </w:pPr>
            <w:r>
              <w:t xml:space="preserve">264,000</w:t>
            </w:r>
          </w:p>
        </w:tc>
      </w:tr>
      <w:tr>
        <w:tc>
          <w:tcPr/>
          <w:p>
            <w:pPr>
              <w:pStyle w:val="Compact"/>
              <w:jc w:val="left"/>
            </w:pPr>
            <w:r>
              <w:t xml:space="preserve">1.8</w:t>
            </w:r>
          </w:p>
        </w:tc>
        <w:tc>
          <w:tcPr/>
          <w:p>
            <w:pPr>
              <w:pStyle w:val="Compact"/>
              <w:jc w:val="left"/>
            </w:pPr>
            <w:r>
              <w:t xml:space="preserve">Training &amp; Knowledge Transfer – Conduct structured training sessions for client engineering staff on reservoir management, well integrity, and production optimization best practices.</w:t>
            </w:r>
          </w:p>
        </w:tc>
        <w:tc>
          <w:tcPr/>
          <w:p>
            <w:pPr>
              <w:pStyle w:val="Compact"/>
              <w:jc w:val="left"/>
            </w:pPr>
            <w:r>
              <w:t xml:space="preserve">2 Sessions</w:t>
            </w:r>
          </w:p>
        </w:tc>
        <w:tc>
          <w:tcPr/>
          <w:p>
            <w:pPr>
              <w:pStyle w:val="Compact"/>
              <w:jc w:val="left"/>
            </w:pPr>
            <w:r>
              <w:t xml:space="preserve">Session</w:t>
            </w:r>
          </w:p>
        </w:tc>
        <w:tc>
          <w:tcPr/>
          <w:p>
            <w:pPr>
              <w:pStyle w:val="Compact"/>
              <w:jc w:val="left"/>
            </w:pPr>
            <w:r>
              <w:t xml:space="preserve">15,000</w:t>
            </w:r>
          </w:p>
        </w:tc>
        <w:tc>
          <w:tcPr/>
          <w:p>
            <w:pPr>
              <w:pStyle w:val="Compact"/>
              <w:jc w:val="left"/>
            </w:pPr>
            <w:r>
              <w:t xml:space="preserve">30,000</w:t>
            </w:r>
          </w:p>
        </w:tc>
      </w:tr>
      <w:tr>
        <w:tc>
          <w:tcPr>
            <w:gridSpan w:val="5"/>
          </w:tcPr>
          <w:p>
            <w:pPr>
              <w:pStyle w:val="Compact"/>
              <w:jc w:val="left"/>
            </w:pPr>
            <w:r>
              <w:t xml:space="preserve">Subtotal (SAR)</w:t>
            </w:r>
          </w:p>
        </w:tc>
        <w:tc>
          <w:tcPr/>
          <w:p>
            <w:pPr>
              <w:pStyle w:val="Compact"/>
              <w:jc w:val="left"/>
            </w:pPr>
            <w:r>
              <w:t xml:space="preserve">1,056,000</w:t>
            </w:r>
          </w:p>
        </w:tc>
      </w:tr>
      <w:tr>
        <w:tc>
          <w:tcPr>
            <w:gridSpan w:val="5"/>
          </w:tcPr>
          <w:p>
            <w:pPr>
              <w:pStyle w:val="Compact"/>
              <w:jc w:val="left"/>
            </w:pPr>
            <w:r>
              <w:t xml:space="preserve">VAT (15% – Saudi Arabia)</w:t>
            </w:r>
          </w:p>
        </w:tc>
        <w:tc>
          <w:tcPr/>
          <w:p>
            <w:pPr>
              <w:pStyle w:val="Compact"/>
              <w:jc w:val="left"/>
            </w:pPr>
            <w:r>
              <w:t xml:space="preserve">158,400</w:t>
            </w:r>
          </w:p>
        </w:tc>
      </w:tr>
      <w:tr>
        <w:tc>
          <w:tcPr>
            <w:gridSpan w:val="5"/>
          </w:tcPr>
          <w:p>
            <w:pPr>
              <w:pStyle w:val="Compact"/>
              <w:jc w:val="left"/>
            </w:pPr>
            <w:r>
              <w:t xml:space="preserve">Grand Total (SAR)</w:t>
            </w:r>
          </w:p>
        </w:tc>
        <w:tc>
          <w:tcPr/>
          <w:p>
            <w:pPr>
              <w:pStyle w:val="Compact"/>
              <w:jc w:val="left"/>
            </w:pPr>
            <w:r>
              <w:t xml:space="preserve">1,214,400</w:t>
            </w:r>
          </w:p>
        </w:tc>
      </w:tr>
    </w:tbl>
    <w:bookmarkEnd w:id="24"/>
    <w:bookmarkStart w:id="25" w:name="qualifications-of-the-petroleum-engineer"/>
    <w:p>
      <w:pPr>
        <w:pStyle w:val="Heading2"/>
      </w:pPr>
      <w:r>
        <w:t xml:space="preserve">3. Qualifications of the Petroleum Engineer</w:t>
      </w:r>
    </w:p>
    <w:p>
      <w:pPr>
        <w:pStyle w:val="FirstParagraph"/>
      </w:pPr>
      <w:r>
        <w:t xml:space="preserve">The</w:t>
      </w:r>
      <w:r>
        <w:t xml:space="preserve"> </w:t>
      </w:r>
      <w:r>
        <w:t xml:space="preserve">Petroleum Engineer</w:t>
      </w:r>
      <w:r>
        <w:t xml:space="preserve"> </w:t>
      </w:r>
      <w:r>
        <w:t xml:space="preserve">assigned to this project shall hold a minimum of a Bachelor's degree in Petroleum Engineering from an accredited university, with a minimum of ten (10) years of progressive experience in upstream oil and gas operations. The engineer shall be registered with the Saudi Council of Engineers (SCE) and hold valid professional certification. Prior experience in projects located in</w:t>
      </w:r>
      <w:r>
        <w:t xml:space="preserve"> </w:t>
      </w:r>
      <w:r>
        <w:t xml:space="preserve">Saudi Arabia Riyadh</w:t>
      </w:r>
      <w:r>
        <w:t xml:space="preserve"> </w:t>
      </w:r>
      <w:r>
        <w:t xml:space="preserve">or the Eastern Province shall be considered a strong advantage. The</w:t>
      </w:r>
      <w:r>
        <w:t xml:space="preserve"> </w:t>
      </w:r>
      <w:r>
        <w:t xml:space="preserve">Petroleum Engineer</w:t>
      </w:r>
      <w:r>
        <w:t xml:space="preserve"> </w:t>
      </w:r>
      <w:r>
        <w:t xml:space="preserve">must demonstrate proficiency in industry-standard software including Petrel, Eclipse, CMG, and iFields, and must be fluent in both English and Arabic to facilitate effective communication with local stakeholders and regulatory bodies in Riyadh.</w:t>
      </w:r>
    </w:p>
    <w:bookmarkEnd w:id="25"/>
    <w:bookmarkStart w:id="26" w:name="payment-terms"/>
    <w:p>
      <w:pPr>
        <w:pStyle w:val="Heading2"/>
      </w:pPr>
      <w:r>
        <w:t xml:space="preserve">4. Payment Terms</w:t>
      </w:r>
    </w:p>
    <w:p>
      <w:pPr>
        <w:pStyle w:val="FirstParagraph"/>
      </w:pPr>
      <w:r>
        <w:t xml:space="preserve">Payment for this</w:t>
      </w:r>
      <w:r>
        <w:t xml:space="preserve"> </w:t>
      </w:r>
      <w:r>
        <w:t xml:space="preserve">Quotation Estimate</w:t>
      </w:r>
      <w:r>
        <w:t xml:space="preserve"> </w:t>
      </w:r>
      <w:r>
        <w:t xml:space="preserve">shall be structured as follows: a mobilization advance of twenty-five percent (25%) upon contract execution; monthly progress payments of ten percent (10%) per completed month of service; and a final payment of the remaining balance upon successful project closure and client sign-off. All payments shall be made in Saudi Riyals (SAR) via bank transfer to the account designated by Al-Riyadh Energy Solutions Ltd. Invoices shall be issued in accordance with ZATCA (Zakat, Tax and Customs Authority) e-invoicing requirements applicable in</w:t>
      </w:r>
      <w:r>
        <w:t xml:space="preserve"> </w:t>
      </w:r>
      <w:r>
        <w:t xml:space="preserve">Saudi Arabia Riyadh</w:t>
      </w:r>
      <w:r>
        <w:t xml:space="preserve">.</w:t>
      </w:r>
    </w:p>
    <w:bookmarkEnd w:id="26"/>
    <w:bookmarkStart w:id="27" w:name="terms-and-conditions"/>
    <w:p>
      <w:pPr>
        <w:pStyle w:val="Heading2"/>
      </w:pPr>
      <w:r>
        <w:t xml:space="preserve">5. Terms and Conditions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valid for a period of ninety (90) calendar days from the date of issue. Beyond this period, pricing may be subject to revision based on market conditions in</w:t>
      </w:r>
      <w:r>
        <w:t xml:space="preserve"> </w:t>
      </w:r>
      <w:r>
        <w:t xml:space="preserve">Saudi Arabia Riyadh</w:t>
      </w:r>
      <w:r>
        <w:t xml:space="preserve">.</w:t>
      </w:r>
    </w:p>
    <w:p>
      <w:pPr>
        <w:pStyle w:val="BodyText"/>
      </w:pPr>
      <w:r>
        <w:rPr>
          <w:bCs/>
          <w:b/>
        </w:rPr>
        <w:t xml:space="preserve">5.2</w:t>
      </w:r>
      <w:r>
        <w:t xml:space="preserve"> </w:t>
      </w:r>
      <w:r>
        <w:t xml:space="preserve">The</w:t>
      </w:r>
      <w:r>
        <w:t xml:space="preserve"> </w:t>
      </w:r>
      <w:r>
        <w:t xml:space="preserve">Petroleum Engineer</w:t>
      </w:r>
      <w:r>
        <w:t xml:space="preserve"> </w:t>
      </w:r>
      <w:r>
        <w:t xml:space="preserve">shall comply with all applicable Saudi Arabian labor laws, occupational health and safety regulations, and environmental standards enforced by the relevant authorities in Riyadh.</w:t>
      </w:r>
    </w:p>
    <w:p>
      <w:pPr>
        <w:pStyle w:val="BodyText"/>
      </w:pPr>
      <w:r>
        <w:rPr>
          <w:bCs/>
          <w:b/>
        </w:rPr>
        <w:t xml:space="preserve">5.3</w:t>
      </w:r>
      <w:r>
        <w:t xml:space="preserve"> </w:t>
      </w:r>
      <w:r>
        <w:t xml:space="preserve">All intellectual property, reports, and technical deliverables produced under this engagement shall become the sole property of the client upon full payment.</w:t>
      </w:r>
    </w:p>
    <w:p>
      <w:pPr>
        <w:pStyle w:val="BodyText"/>
      </w:pPr>
      <w:r>
        <w:rPr>
          <w:bCs/>
          <w:b/>
        </w:rPr>
        <w:t xml:space="preserve">5.4</w:t>
      </w:r>
      <w:r>
        <w:t xml:space="preserve"> </w:t>
      </w:r>
      <w:r>
        <w:t xml:space="preserve">Either party may terminate this agreement with thirty (30) days written notice. In the event of early termination, the client shall be liable for all services rendered up to the termination date.</w:t>
      </w:r>
    </w:p>
    <w:p>
      <w:pPr>
        <w:pStyle w:val="BodyText"/>
      </w:pPr>
      <w:r>
        <w:rPr>
          <w:bCs/>
          <w:b/>
        </w:rPr>
        <w:t xml:space="preserve">5.5</w:t>
      </w:r>
      <w:r>
        <w:t xml:space="preserve"> </w:t>
      </w:r>
      <w:r>
        <w:t xml:space="preserve">This</w:t>
      </w:r>
      <w:r>
        <w:t xml:space="preserve"> </w:t>
      </w:r>
      <w:r>
        <w:t xml:space="preserve">Quotation Estimate</w:t>
      </w:r>
      <w:r>
        <w:t xml:space="preserve"> </w:t>
      </w:r>
      <w:r>
        <w:t xml:space="preserve">does not constitute a binding contract until a formal Service Agreement is executed by both parties.</w:t>
      </w:r>
    </w:p>
    <w:p>
      <w:pPr>
        <w:pStyle w:val="BodyText"/>
      </w:pPr>
      <w:r>
        <w:rPr>
          <w:bCs/>
          <w:b/>
        </w:rPr>
        <w:t xml:space="preserve">5.6</w:t>
      </w:r>
      <w:r>
        <w:t xml:space="preserve"> </w:t>
      </w:r>
      <w:r>
        <w:t xml:space="preserve">Disputes arising from this engagement shall be resolved through arbitration in Riyadh, Saudi Arabia, in accordance with the rules of the Saudi Center for Commercial Arbitration.</w:t>
      </w:r>
    </w:p>
    <w:p>
      <w:pPr>
        <w:pStyle w:val="BodyText"/>
      </w:pPr>
      <w:r>
        <w:rPr>
          <w:bCs/>
          <w:b/>
        </w:rPr>
        <w:t xml:space="preserve">Note:</w:t>
      </w:r>
      <w:r>
        <w:t xml:space="preserve"> </w:t>
      </w:r>
      <w:r>
        <w:t xml:space="preserve">This</w:t>
      </w:r>
      <w:r>
        <w:t xml:space="preserve"> </w:t>
      </w:r>
      <w:r>
        <w:t xml:space="preserve">Quotation Estimate</w:t>
      </w:r>
      <w:r>
        <w:t xml:space="preserve"> </w:t>
      </w:r>
      <w:r>
        <w:t xml:space="preserve">assumes standard operating conditions in</w:t>
      </w:r>
      <w:r>
        <w:t xml:space="preserve"> </w:t>
      </w:r>
      <w:r>
        <w:t xml:space="preserve">Saudi Arabia Riyadh</w:t>
      </w:r>
      <w:r>
        <w:t xml:space="preserve">. Any scope changes, additional well interventions, or extended site access requirements beyond the stated durations will be subject to a supplementary quotation issued by Al-Riyadh Energy Solutions Ltd. The</w:t>
      </w:r>
      <w:r>
        <w:t xml:space="preserve"> </w:t>
      </w:r>
      <w:r>
        <w:t xml:space="preserve">Petroleum Engineer</w:t>
      </w:r>
      <w:r>
        <w:t xml:space="preserve"> </w:t>
      </w:r>
      <w:r>
        <w:t xml:space="preserve">services are exclusive of client-provided equipment, laboratory analysis costs, and third-party data acquisition fees.</w:t>
      </w:r>
    </w:p>
    <w:bookmarkEnd w:id="27"/>
    <w:bookmarkStart w:id="28"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pricing outlined for the engagement of a</w:t>
      </w:r>
      <w:r>
        <w:t xml:space="preserve"> </w:t>
      </w:r>
      <w:r>
        <w:t xml:space="preserve">Petroleum Engineer</w:t>
      </w:r>
      <w:r>
        <w:t xml:space="preserve"> </w:t>
      </w:r>
      <w:r>
        <w:t xml:space="preserve">in</w:t>
      </w:r>
      <w:r>
        <w:t xml:space="preserve"> </w:t>
      </w:r>
      <w:r>
        <w:t xml:space="preserve">Saudi Arabia Riyadh</w:t>
      </w:r>
      <w:r>
        <w:t xml:space="preserve">.</w:t>
      </w:r>
    </w:p>
    <w:p>
      <w:pPr>
        <w:pStyle w:val="BodyText"/>
      </w:pPr>
      <w:r>
        <w:rPr>
          <w:bCs/>
          <w:b/>
        </w:rPr>
        <w:t xml:space="preserve">For Al-Riyadh Energy Solutions Ltd.</w:t>
      </w:r>
      <w:r>
        <w:br/>
      </w:r>
      <w:r>
        <w:t xml:space="preserve">Authorized Signatory</w:t>
      </w:r>
      <w:r>
        <w:br/>
      </w:r>
      <w:r>
        <w:t xml:space="preserve">Name: _________________________</w:t>
      </w:r>
      <w:r>
        <w:br/>
      </w:r>
      <w:r>
        <w:t xml:space="preserve">Title: Managing Director</w:t>
      </w:r>
      <w:r>
        <w:br/>
      </w:r>
      <w:r>
        <w:t xml:space="preserve">Date: _________________________</w:t>
      </w:r>
    </w:p>
    <w:p>
      <w:pPr>
        <w:pStyle w:val="BodyText"/>
      </w:pPr>
      <w:r>
        <w:rPr>
          <w:bCs/>
          <w:b/>
        </w:rPr>
        <w:t xml:space="preserve">For the Client</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t xml:space="preserve">Al-Riyadh Energy Solutions Ltd. | King Fahd Road, Al Olaya District, Riyadh 12213, Saudi Arabia</w:t>
      </w:r>
    </w:p>
    <w:p>
      <w:pPr>
        <w:pStyle w:val="BodyText"/>
      </w:pPr>
      <w:r>
        <w:t xml:space="preserve">This Quotation Estimate is confidential and intended solely for the named recipient. Unauthorized distribution is prohibited.</w:t>
      </w:r>
    </w:p>
    <w:p>
      <w:pPr>
        <w:pStyle w:val="BodyText"/>
      </w:pPr>
      <w:r>
        <w:t xml:space="preserve">Page 1 of 1 | Document Ref: QTE-2025-RYD-PE-0047</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Petroleum Engineer Services - Saudi Arabia Riyadh</dc:title>
  <dc:creator/>
  <dc:language>en</dc:language>
  <cp:keywords/>
  <dcterms:created xsi:type="dcterms:W3CDTF">2026-10-10T05:05:54Z</dcterms:created>
  <dcterms:modified xsi:type="dcterms:W3CDTF">2026-10-10T05:05:54Z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