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Admiral Energy Solutions LLC</w:t>
      </w:r>
    </w:p>
    <w:p>
      <w:pPr>
        <w:pStyle w:val="BodyText"/>
      </w:pPr>
      <w:r>
        <w:t xml:space="preserve">P.O. Box 45218, Al Markaziyah, United Arab Emirates Abu Dhabi</w:t>
      </w:r>
    </w:p>
    <w:p>
      <w:pPr>
        <w:pStyle w:val="BodyText"/>
      </w:pPr>
      <w:r>
        <w:t xml:space="preserve">Tel: +971 2 555 0142 | Email: quotations@admiralenergy.ae</w:t>
      </w:r>
    </w:p>
    <w:p>
      <w:pPr>
        <w:pStyle w:val="BodyText"/>
      </w:pPr>
      <w:r>
        <w:t xml:space="preserve">Trade License No. AD-2019-78453 | VAT No. 100234567800003</w:t>
      </w:r>
    </w:p>
    <w:bookmarkEnd w:id="20"/>
    <w:p>
      <w:pPr>
        <w:pStyle w:val="BodyText"/>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w:t>
      </w:r>
      <w:r>
        <w:t xml:space="preserve"> </w:t>
      </w:r>
      <w:r>
        <w:t xml:space="preserve">PTE-ADH-2025-003</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Abu Dhabi National Oil Company (ADNOC) – Upstream Division</w:t>
            </w:r>
          </w:p>
        </w:tc>
      </w:tr>
      <w:tr>
        <w:tc>
          <w:tcPr/>
          <w:p>
            <w:pPr>
              <w:pStyle w:val="Compact"/>
              <w:jc w:val="left"/>
            </w:pPr>
            <w:r>
              <w:rPr>
                <w:bCs/>
                <w:b/>
              </w:rPr>
              <w:t xml:space="preserve">Project Site:</w:t>
            </w:r>
          </w:p>
        </w:tc>
        <w:tc>
          <w:tcPr/>
          <w:p>
            <w:pPr>
              <w:pStyle w:val="Compact"/>
              <w:jc w:val="left"/>
            </w:pPr>
            <w:r>
              <w:t xml:space="preserve">Onshore &amp; Offshore Operations, United Arab Emirates Abu Dhabi</w:t>
            </w:r>
          </w:p>
        </w:tc>
      </w:tr>
      <w:tr>
        <w:tc>
          <w:tcPr/>
          <w:p>
            <w:pPr>
              <w:pStyle w:val="Compact"/>
              <w:jc w:val="left"/>
            </w:pPr>
            <w:r>
              <w:rPr>
                <w:bCs/>
                <w:b/>
              </w:rPr>
              <w:t xml:space="preserve">Point of Contact:</w:t>
            </w:r>
          </w:p>
        </w:tc>
        <w:tc>
          <w:tcPr/>
          <w:p>
            <w:pPr>
              <w:pStyle w:val="Compact"/>
              <w:jc w:val="left"/>
            </w:pPr>
            <w:r>
              <w:t xml:space="preserve">Eng. Khalid Al Mansoori – Senior Project Manager</w:t>
            </w:r>
          </w:p>
        </w:tc>
      </w:tr>
      <w:tr>
        <w:tc>
          <w:tcPr/>
          <w:p>
            <w:pPr>
              <w:pStyle w:val="Compact"/>
              <w:jc w:val="left"/>
            </w:pPr>
            <w:r>
              <w:rPr>
                <w:bCs/>
                <w:b/>
              </w:rPr>
              <w:t xml:space="preserve">Contact Email:</w:t>
            </w:r>
          </w:p>
        </w:tc>
        <w:tc>
          <w:tcPr/>
          <w:p>
            <w:pPr>
              <w:pStyle w:val="Compact"/>
              <w:jc w:val="left"/>
            </w:pPr>
            <w:r>
              <w:t xml:space="preserve">k.almansoori@adnoc.ae</w:t>
            </w:r>
          </w:p>
        </w:tc>
      </w:tr>
    </w:tbl>
    <w:bookmarkEnd w:id="21"/>
    <w:bookmarkStart w:id="22" w:name="Xd5385f6f61d43e56a599f48802b5e2212a22ebe"/>
    <w:p>
      <w:pPr>
        <w:pStyle w:val="Heading2"/>
      </w:pPr>
      <w:r>
        <w:t xml:space="preserve">2. Scope of Services – Petroleum Engineer Consultancy</w:t>
      </w:r>
    </w:p>
    <w:p>
      <w:pPr>
        <w:pStyle w:val="FirstParagraph"/>
      </w:pPr>
      <w:r>
        <w:t xml:space="preserve">This</w:t>
      </w:r>
      <w:r>
        <w:t xml:space="preserve"> </w:t>
      </w:r>
      <w:r>
        <w:t xml:space="preserve">Quotation Estimate</w:t>
      </w:r>
      <w:r>
        <w:t xml:space="preserve"> </w:t>
      </w:r>
      <w:r>
        <w:t xml:space="preserve">is issued by Admiral Energy Solutions LLC in response to the formal request for professional</w:t>
      </w:r>
      <w:r>
        <w:t xml:space="preserve"> </w:t>
      </w:r>
      <w:r>
        <w:t xml:space="preserve">Petroleum Engineer</w:t>
      </w:r>
      <w:r>
        <w:t xml:space="preserve"> </w:t>
      </w:r>
      <w:r>
        <w:t xml:space="preserve">services to be delivered within the jurisdiction of</w:t>
      </w:r>
      <w:r>
        <w:t xml:space="preserve"> </w:t>
      </w:r>
      <w:r>
        <w:t xml:space="preserve">United Arab Emirates Abu Dhabi</w:t>
      </w:r>
      <w:r>
        <w:t xml:space="preserve">. The scope encompasses a comprehensive suite of reservoir engineering, drilling optimization, and production enhancement activities tailored to the client's active asset portfolio in the Abu Dhabi emirate.</w:t>
      </w:r>
    </w:p>
    <w:p>
      <w:pPr>
        <w:pStyle w:val="BodyText"/>
      </w:pPr>
      <w:r>
        <w:t xml:space="preserve">The designated</w:t>
      </w:r>
      <w:r>
        <w:t xml:space="preserve"> </w:t>
      </w:r>
      <w:r>
        <w:t xml:space="preserve">Petroleum Engineer</w:t>
      </w:r>
      <w:r>
        <w:t xml:space="preserve"> </w:t>
      </w:r>
      <w:r>
        <w:t xml:space="preserve">shall hold a minimum of fifteen (15) years of progressive experience in hydrocarbon reservoir management, with demonstrated competence in both onshore and offshore operations characteristic of the United Arab Emirates Abu Dhabi geological formations. The engineer must be registered with the Abu Dhabi Department of Energy (DoE) and hold a valid professional license issued under the UAE regulatory framework.</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Reservoir Characterization &amp; Static Modeling – Petroleum Engineer on-site assessment at Abu Dhabi field locations</w:t>
            </w:r>
          </w:p>
        </w:tc>
        <w:tc>
          <w:tcPr/>
          <w:p>
            <w:pPr>
              <w:pStyle w:val="Compact"/>
              <w:jc w:val="left"/>
            </w:pPr>
            <w:r>
              <w:t xml:space="preserve">6 weeks</w:t>
            </w:r>
          </w:p>
        </w:tc>
        <w:tc>
          <w:tcPr/>
          <w:p>
            <w:pPr>
              <w:pStyle w:val="Compact"/>
              <w:jc w:val="left"/>
            </w:pPr>
            <w:r>
              <w:t xml:space="preserve">18,500 / day</w:t>
            </w:r>
          </w:p>
        </w:tc>
        <w:tc>
          <w:tcPr/>
          <w:p>
            <w:pPr>
              <w:pStyle w:val="Compact"/>
              <w:jc w:val="left"/>
            </w:pPr>
            <w:r>
              <w:t xml:space="preserve">4,380,000</w:t>
            </w:r>
          </w:p>
        </w:tc>
      </w:tr>
      <w:tr>
        <w:tc>
          <w:tcPr/>
          <w:p>
            <w:pPr>
              <w:pStyle w:val="Compact"/>
              <w:jc w:val="left"/>
            </w:pPr>
            <w:r>
              <w:t xml:space="preserve">02</w:t>
            </w:r>
          </w:p>
        </w:tc>
        <w:tc>
          <w:tcPr/>
          <w:p>
            <w:pPr>
              <w:pStyle w:val="Compact"/>
              <w:jc w:val="left"/>
            </w:pPr>
            <w:r>
              <w:t xml:space="preserve">Dynamic Reservoir Simulation &amp; History Matching – Offshore platform support, United Arab Emirates Abu Dhabi</w:t>
            </w:r>
          </w:p>
        </w:tc>
        <w:tc>
          <w:tcPr/>
          <w:p>
            <w:pPr>
              <w:pStyle w:val="Compact"/>
              <w:jc w:val="left"/>
            </w:pPr>
            <w:r>
              <w:t xml:space="preserve">8 weeks</w:t>
            </w:r>
          </w:p>
        </w:tc>
        <w:tc>
          <w:tcPr/>
          <w:p>
            <w:pPr>
              <w:pStyle w:val="Compact"/>
              <w:jc w:val="left"/>
            </w:pPr>
            <w:r>
              <w:t xml:space="preserve">21,000 / day</w:t>
            </w:r>
          </w:p>
        </w:tc>
        <w:tc>
          <w:tcPr/>
          <w:p>
            <w:pPr>
              <w:pStyle w:val="Compact"/>
              <w:jc w:val="left"/>
            </w:pPr>
            <w:r>
              <w:t xml:space="preserve">6,720,000</w:t>
            </w:r>
          </w:p>
        </w:tc>
      </w:tr>
      <w:tr>
        <w:tc>
          <w:tcPr/>
          <w:p>
            <w:pPr>
              <w:pStyle w:val="Compact"/>
              <w:jc w:val="left"/>
            </w:pPr>
            <w:r>
              <w:t xml:space="preserve">03</w:t>
            </w:r>
          </w:p>
        </w:tc>
        <w:tc>
          <w:tcPr/>
          <w:p>
            <w:pPr>
              <w:pStyle w:val="Compact"/>
              <w:jc w:val="left"/>
            </w:pPr>
            <w:r>
              <w:t xml:space="preserve">Well Performance Analysis &amp; Inflow Performance Relationship (IPR) Studies</w:t>
            </w:r>
          </w:p>
        </w:tc>
        <w:tc>
          <w:tcPr/>
          <w:p>
            <w:pPr>
              <w:pStyle w:val="Compact"/>
              <w:jc w:val="left"/>
            </w:pPr>
            <w:r>
              <w:t xml:space="preserve">4 weeks</w:t>
            </w:r>
          </w:p>
        </w:tc>
        <w:tc>
          <w:tcPr/>
          <w:p>
            <w:pPr>
              <w:pStyle w:val="Compact"/>
              <w:jc w:val="left"/>
            </w:pPr>
            <w:r>
              <w:t xml:space="preserve">19,500 / day</w:t>
            </w:r>
          </w:p>
        </w:tc>
        <w:tc>
          <w:tcPr/>
          <w:p>
            <w:pPr>
              <w:pStyle w:val="Compact"/>
              <w:jc w:val="left"/>
            </w:pPr>
            <w:r>
              <w:t xml:space="preserve">2,925,000</w:t>
            </w:r>
          </w:p>
        </w:tc>
      </w:tr>
      <w:tr>
        <w:tc>
          <w:tcPr/>
          <w:p>
            <w:pPr>
              <w:pStyle w:val="Compact"/>
              <w:jc w:val="left"/>
            </w:pPr>
            <w:r>
              <w:t xml:space="preserve">04</w:t>
            </w:r>
          </w:p>
        </w:tc>
        <w:tc>
          <w:tcPr/>
          <w:p>
            <w:pPr>
              <w:pStyle w:val="Compact"/>
              <w:jc w:val="left"/>
            </w:pPr>
            <w:r>
              <w:t xml:space="preserve">Enhanced Oil Recovery (EOR) Feasibility Study &amp; Pilot Design</w:t>
            </w:r>
          </w:p>
        </w:tc>
        <w:tc>
          <w:tcPr/>
          <w:p>
            <w:pPr>
              <w:pStyle w:val="Compact"/>
              <w:jc w:val="left"/>
            </w:pPr>
            <w:r>
              <w:t xml:space="preserve">10 weeks</w:t>
            </w:r>
          </w:p>
        </w:tc>
        <w:tc>
          <w:tcPr/>
          <w:p>
            <w:pPr>
              <w:pStyle w:val="Compact"/>
              <w:jc w:val="left"/>
            </w:pPr>
            <w:r>
              <w:t xml:space="preserve">22,500 / day</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Drilling &amp; Completion Optimization – Petroleum Engineer technical oversight</w:t>
            </w:r>
          </w:p>
        </w:tc>
        <w:tc>
          <w:tcPr/>
          <w:p>
            <w:pPr>
              <w:pStyle w:val="Compact"/>
              <w:jc w:val="left"/>
            </w:pPr>
            <w:r>
              <w:t xml:space="preserve">5 weeks</w:t>
            </w:r>
          </w:p>
        </w:tc>
        <w:tc>
          <w:tcPr/>
          <w:p>
            <w:pPr>
              <w:pStyle w:val="Compact"/>
              <w:jc w:val="left"/>
            </w:pPr>
            <w:r>
              <w:t xml:space="preserve">20,000 / day</w:t>
            </w:r>
          </w:p>
        </w:tc>
        <w:tc>
          <w:tcPr/>
          <w:p>
            <w:pPr>
              <w:pStyle w:val="Compact"/>
              <w:jc w:val="left"/>
            </w:pPr>
            <w:r>
              <w:t xml:space="preserve">3,500,000</w:t>
            </w:r>
          </w:p>
        </w:tc>
      </w:tr>
      <w:tr>
        <w:tc>
          <w:tcPr/>
          <w:p>
            <w:pPr>
              <w:pStyle w:val="Compact"/>
              <w:jc w:val="left"/>
            </w:pPr>
            <w:r>
              <w:t xml:space="preserve">06</w:t>
            </w:r>
          </w:p>
        </w:tc>
        <w:tc>
          <w:tcPr/>
          <w:p>
            <w:pPr>
              <w:pStyle w:val="Compact"/>
              <w:jc w:val="left"/>
            </w:pPr>
            <w:r>
              <w:t xml:space="preserve">Monthly Technical Reporting &amp; Client Presentation – Abu Dhabi HQ</w:t>
            </w:r>
          </w:p>
        </w:tc>
        <w:tc>
          <w:tcPr/>
          <w:p>
            <w:pPr>
              <w:pStyle w:val="Compact"/>
              <w:jc w:val="left"/>
            </w:pPr>
            <w:r>
              <w:t xml:space="preserve">33 months</w:t>
            </w:r>
          </w:p>
        </w:tc>
        <w:tc>
          <w:tcPr/>
          <w:p>
            <w:pPr>
              <w:pStyle w:val="Compact"/>
              <w:jc w:val="left"/>
            </w:pPr>
            <w:r>
              <w:t xml:space="preserve">8,500 / month</w:t>
            </w:r>
          </w:p>
        </w:tc>
        <w:tc>
          <w:tcPr/>
          <w:p>
            <w:pPr>
              <w:pStyle w:val="Compact"/>
              <w:jc w:val="left"/>
            </w:pPr>
            <w:r>
              <w:t xml:space="preserve">280,500</w:t>
            </w:r>
          </w:p>
        </w:tc>
      </w:tr>
      <w:tr>
        <w:tc>
          <w:tcPr/>
          <w:p>
            <w:pPr>
              <w:pStyle w:val="Compact"/>
              <w:jc w:val="left"/>
            </w:pPr>
            <w:r>
              <w:t xml:space="preserve">07</w:t>
            </w:r>
          </w:p>
        </w:tc>
        <w:tc>
          <w:tcPr/>
          <w:p>
            <w:pPr>
              <w:pStyle w:val="Compact"/>
              <w:jc w:val="left"/>
            </w:pPr>
            <w:r>
              <w:t xml:space="preserve">Travel, Accommodation &amp; Per Diem within United Arab Emirates Abu Dhabi</w:t>
            </w:r>
          </w:p>
        </w:tc>
        <w:tc>
          <w:tcPr/>
          <w:p>
            <w:pPr>
              <w:pStyle w:val="Compact"/>
              <w:jc w:val="left"/>
            </w:pPr>
            <w:r>
              <w:t xml:space="preserve">33 months</w:t>
            </w:r>
          </w:p>
        </w:tc>
        <w:tc>
          <w:tcPr/>
          <w:p>
            <w:pPr>
              <w:pStyle w:val="Compact"/>
              <w:jc w:val="left"/>
            </w:pPr>
            <w:r>
              <w:t xml:space="preserve">4,200 / month</w:t>
            </w:r>
          </w:p>
        </w:tc>
        <w:tc>
          <w:tcPr/>
          <w:p>
            <w:pPr>
              <w:pStyle w:val="Compact"/>
              <w:jc w:val="left"/>
            </w:pPr>
            <w:r>
              <w:t xml:space="preserve">138,600</w:t>
            </w:r>
          </w:p>
        </w:tc>
      </w:tr>
      <w:tr>
        <w:tc>
          <w:tcPr/>
          <w:p>
            <w:pPr>
              <w:pStyle w:val="Compact"/>
              <w:jc w:val="left"/>
            </w:pPr>
            <w:r>
              <w:t xml:space="preserve">08</w:t>
            </w:r>
          </w:p>
        </w:tc>
        <w:tc>
          <w:tcPr/>
          <w:p>
            <w:pPr>
              <w:pStyle w:val="Compact"/>
              <w:jc w:val="left"/>
            </w:pPr>
            <w:r>
              <w:t xml:space="preserve">Software Licensing (Petrel, Eclipse, CMG) &amp; Computational Resources</w:t>
            </w:r>
          </w:p>
        </w:tc>
        <w:tc>
          <w:tcPr/>
          <w:p>
            <w:pPr>
              <w:pStyle w:val="Compact"/>
              <w:jc w:val="left"/>
            </w:pPr>
            <w:r>
              <w:t xml:space="preserve">33 months</w:t>
            </w:r>
          </w:p>
        </w:tc>
        <w:tc>
          <w:tcPr/>
          <w:p>
            <w:pPr>
              <w:pStyle w:val="Compact"/>
              <w:jc w:val="left"/>
            </w:pPr>
            <w:r>
              <w:t xml:space="preserve">12,000 / month</w:t>
            </w:r>
          </w:p>
        </w:tc>
        <w:tc>
          <w:tcPr/>
          <w:p>
            <w:pPr>
              <w:pStyle w:val="Compact"/>
              <w:jc w:val="left"/>
            </w:pPr>
            <w:r>
              <w:t xml:space="preserve">396,000</w:t>
            </w:r>
          </w:p>
        </w:tc>
      </w:tr>
      <w:tr>
        <w:tc>
          <w:tcPr>
            <w:gridSpan w:val="4"/>
          </w:tcPr>
          <w:p>
            <w:pPr>
              <w:pStyle w:val="Compact"/>
              <w:jc w:val="right"/>
            </w:pPr>
            <w:r>
              <w:t xml:space="preserve">Subtotal (AED)</w:t>
            </w:r>
          </w:p>
        </w:tc>
        <w:tc>
          <w:tcPr/>
          <w:p>
            <w:pPr>
              <w:pStyle w:val="Compact"/>
              <w:jc w:val="left"/>
            </w:pPr>
            <w:r>
              <w:t xml:space="preserve">27,340,100</w:t>
            </w:r>
          </w:p>
        </w:tc>
      </w:tr>
      <w:tr>
        <w:tc>
          <w:tcPr>
            <w:gridSpan w:val="4"/>
          </w:tcPr>
          <w:p>
            <w:pPr>
              <w:pStyle w:val="Compact"/>
              <w:jc w:val="right"/>
            </w:pPr>
            <w:r>
              <w:t xml:space="preserve">VAT @ 5% (UAE)</w:t>
            </w:r>
          </w:p>
        </w:tc>
        <w:tc>
          <w:tcPr/>
          <w:p>
            <w:pPr>
              <w:pStyle w:val="Compact"/>
              <w:jc w:val="left"/>
            </w:pPr>
            <w:r>
              <w:t xml:space="preserve">1,367,005</w:t>
            </w:r>
          </w:p>
        </w:tc>
      </w:tr>
      <w:tr>
        <w:tc>
          <w:tcPr>
            <w:gridSpan w:val="4"/>
          </w:tcPr>
          <w:p>
            <w:pPr>
              <w:pStyle w:val="Compact"/>
              <w:jc w:val="right"/>
            </w:pPr>
            <w:r>
              <w:rPr>
                <w:bCs/>
                <w:b/>
              </w:rPr>
              <w:t xml:space="preserve">TOTAL ESTIMATED COST (AED)</w:t>
            </w:r>
          </w:p>
        </w:tc>
        <w:tc>
          <w:tcPr/>
          <w:p>
            <w:pPr>
              <w:pStyle w:val="Compact"/>
              <w:jc w:val="left"/>
            </w:pPr>
            <w:r>
              <w:rPr>
                <w:bCs/>
                <w:b/>
              </w:rPr>
              <w:t xml:space="preserve">28,707,105</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by Admiral Energy Solutions LLC.</w:t>
      </w:r>
    </w:p>
    <w:p>
      <w:pPr>
        <w:numPr>
          <w:ilvl w:val="0"/>
          <w:numId w:val="1001"/>
        </w:numPr>
        <w:pStyle w:val="Compact"/>
      </w:pPr>
      <w:r>
        <w:t xml:space="preserve">All rates quoted are in United Arab Emirates Dirhams (AED) and are inclusive of the assigned</w:t>
      </w:r>
      <w:r>
        <w:t xml:space="preserve"> </w:t>
      </w:r>
      <w:r>
        <w:t xml:space="preserve">Petroleum Engineer</w:t>
      </w:r>
      <w:r>
        <w:t xml:space="preserve">'s professional fees, technical supervision, and deliverable preparation. Rates are exclusive of VAT, which is applied at the prevailing UAE rate of 5%.</w:t>
      </w:r>
    </w:p>
    <w:p>
      <w:pPr>
        <w:numPr>
          <w:ilvl w:val="0"/>
          <w:numId w:val="1001"/>
        </w:numPr>
        <w:pStyle w:val="Compact"/>
      </w:pPr>
      <w:r>
        <w:t xml:space="preserve">The</w:t>
      </w:r>
      <w:r>
        <w:t xml:space="preserve"> </w:t>
      </w:r>
      <w:r>
        <w:t xml:space="preserve">Petroleum Engineer</w:t>
      </w:r>
      <w:r>
        <w:t xml:space="preserve"> </w:t>
      </w:r>
      <w:r>
        <w:t xml:space="preserve">shall comply with all applicable regulations of the Abu Dhabi Department of Energy, the UAE Ministry of Energy and Infrastructure, and all site-specific HSE (Health, Safety, and Environment) protocols in force at the United Arab Emirates Abu Dhabi operating locations.</w:t>
      </w:r>
    </w:p>
    <w:p>
      <w:pPr>
        <w:numPr>
          <w:ilvl w:val="0"/>
          <w:numId w:val="1001"/>
        </w:numPr>
        <w:pStyle w:val="Compact"/>
      </w:pPr>
      <w:r>
        <w:t xml:space="preserve">Payment terms: 30% advance mobilization upon contract execution; 60% in monthly progress payments based on certified deliverables; 10% retention released upon final project acceptance and handover.</w:t>
      </w:r>
    </w:p>
    <w:p>
      <w:pPr>
        <w:numPr>
          <w:ilvl w:val="0"/>
          <w:numId w:val="1001"/>
        </w:numPr>
        <w:pStyle w:val="Compact"/>
      </w:pPr>
      <w:r>
        <w:t xml:space="preserve">Payment shall be made via bank transfer to the account designated in the contract annexure within fifteen (15) business days of invoice receipt. Late payments shall attract interest at 1.5% per month.</w:t>
      </w:r>
    </w:p>
    <w:p>
      <w:pPr>
        <w:numPr>
          <w:ilvl w:val="0"/>
          <w:numId w:val="1001"/>
        </w:numPr>
        <w:pStyle w:val="Compact"/>
      </w:pPr>
      <w:r>
        <w:t xml:space="preserve">The</w:t>
      </w:r>
      <w:r>
        <w:t xml:space="preserve"> </w:t>
      </w:r>
      <w:r>
        <w:t xml:space="preserve">Quotation Estimate</w:t>
      </w:r>
      <w:r>
        <w:t xml:space="preserve"> </w:t>
      </w:r>
      <w:r>
        <w:t xml:space="preserve">assumes standard working hours of 8 hours per day, 5 days per week. Overtime beyond these hours shall be billed at 1.5x the daily rate, subject to prior written approval by the client's project manager.</w:t>
      </w:r>
    </w:p>
    <w:p>
      <w:pPr>
        <w:numPr>
          <w:ilvl w:val="0"/>
          <w:numId w:val="1001"/>
        </w:numPr>
        <w:pStyle w:val="Compact"/>
      </w:pPr>
      <w:r>
        <w:t xml:space="preserve">Intellectual property generated during the engagement, including all reservoir models, simulation results, and technical reports, shall vest exclusively in the client upon full payment. The</w:t>
      </w:r>
      <w:r>
        <w:t xml:space="preserve"> </w:t>
      </w:r>
      <w:r>
        <w:t xml:space="preserve">Petroleum Engineer</w:t>
      </w:r>
      <w:r>
        <w:t xml:space="preserve"> </w:t>
      </w:r>
      <w:r>
        <w:t xml:space="preserve">retains the right to reference the project in professional portfolios with client consent.</w:t>
      </w:r>
    </w:p>
    <w:p>
      <w:pPr>
        <w:numPr>
          <w:ilvl w:val="0"/>
          <w:numId w:val="1001"/>
        </w:numPr>
        <w:pStyle w:val="Compact"/>
      </w:pPr>
      <w:r>
        <w:t xml:space="preserve">Force majeure events, including but not limited to extreme weather conditions affecting offshore operations in United Arab Emirates Abu Dhabi, shall suspend performance obligations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All terms herein are subject to the final contract documentation.</w:t>
      </w:r>
    </w:p>
    <w:p>
      <w:pPr>
        <w:numPr>
          <w:ilvl w:val="0"/>
          <w:numId w:val="1001"/>
        </w:numPr>
        <w:pStyle w:val="Compact"/>
      </w:pPr>
      <w:r>
        <w:t xml:space="preserve">Disputes arising from this engagement shall be resolved through arbitration in Abu Dhabi in accordance with the UAE Federal Arbitration Law, with the seat of arbitration in the United Arab Emirates Abu Dhabi.</w:t>
      </w:r>
    </w:p>
    <w:p>
      <w:pPr>
        <w:pStyle w:val="FirstParagraph"/>
      </w:pPr>
      <w:r>
        <w:rPr>
          <w:bCs/>
          <w:b/>
        </w:rPr>
        <w:t xml:space="preserve">Note:</w:t>
      </w:r>
      <w:r>
        <w:t xml:space="preserve"> </w:t>
      </w:r>
      <w:r>
        <w:t xml:space="preserve">This Quotation Estimate has been prepared specifically for the petroleum engineering consultancy requirements identified in the client's Request for Proposal (RFP) Ref. ADNOC-UP-2025-1142. The scope, rates, and durations are tailored to the geological and operational context of the United Arab Emirates Abu Dhabi asset base. Any material change in scope exceeding 10% of the original work volume shall trigger a formal variation order and revised Quotation Estimate.</w:t>
      </w:r>
    </w:p>
    <w:bookmarkEnd w:id="24"/>
    <w:bookmarkStart w:id="25" w:name="acceptance-and-authorization"/>
    <w:p>
      <w:pPr>
        <w:pStyle w:val="Heading2"/>
      </w:pPr>
      <w:r>
        <w:t xml:space="preserve">5. Acceptance and Authorization</w:t>
      </w:r>
    </w:p>
    <w:p>
      <w:pPr>
        <w:pStyle w:val="FirstParagraph"/>
      </w:pPr>
      <w:r>
        <w:rPr>
          <w:bCs/>
          <w:b/>
        </w:rPr>
        <w:t xml:space="preserve">For and on behalf of Admiral Energy Solutions LLC</w:t>
      </w:r>
      <w:r>
        <w:br/>
      </w:r>
      <w:r>
        <w:t xml:space="preserve">Name: Eng. Sarah Al Farsi</w:t>
      </w:r>
      <w:r>
        <w:br/>
      </w:r>
      <w:r>
        <w:t xml:space="preserve">Title: Chief Petroleum Engineer / Director</w:t>
      </w:r>
      <w:r>
        <w:br/>
      </w:r>
      <w:r>
        <w:t xml:space="preserve">Date: _______________</w:t>
      </w:r>
    </w:p>
    <w:p>
      <w:pPr>
        <w:pStyle w:val="BodyText"/>
      </w:pPr>
      <w:r>
        <w:rPr>
          <w:bCs/>
          <w:b/>
        </w:rPr>
        <w:t xml:space="preserve">For and on behalf of the Client</w:t>
      </w:r>
      <w:r>
        <w:br/>
      </w:r>
      <w:r>
        <w:t xml:space="preserve">Name: Eng. Khalid Al Mansoori</w:t>
      </w:r>
      <w:r>
        <w:br/>
      </w:r>
      <w:r>
        <w:t xml:space="preserve">Title: Senior Project Manager, ADNOC Upstream</w:t>
      </w:r>
      <w:r>
        <w:br/>
      </w:r>
      <w:r>
        <w:t xml:space="preserve">Date: _______________</w:t>
      </w:r>
    </w:p>
    <w:p>
      <w:pPr>
        <w:pStyle w:val="BodyText"/>
      </w:pPr>
      <w:r>
        <w:t xml:space="preserve">Admiral Energy Solutions LLC | United Arab Emirates Abu Dhabi | P.O. Box 45218, Al Markaziyah</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Document ID: QTE-2025-04871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United Arab Emirates Abu Dhabi</dc:title>
  <dc:creator/>
  <dc:language>en</dc:language>
  <cp:keywords/>
  <dcterms:created xsi:type="dcterms:W3CDTF">2026-10-10T03:14:38Z</dcterms:created>
  <dcterms:modified xsi:type="dcterms:W3CDTF">2026-10-10T03:14:38Z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