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quotation-estimate"/>
    <w:p>
      <w:pPr>
        <w:pStyle w:val="Heading1"/>
      </w:pPr>
      <w:r>
        <w:t xml:space="preserve">Quotation Estimate</w:t>
      </w:r>
    </w:p>
    <w:p>
      <w:pPr>
        <w:pStyle w:val="FirstParagraph"/>
      </w:pPr>
      <w:r>
        <w:t xml:space="preserve">Professional Petroleum Engineering Services — United States Los Angeles</w:t>
      </w:r>
    </w:p>
    <w:bookmarkEnd w:id="20"/>
    <w:bookmarkStart w:id="21" w:name="prepared-by"/>
    <w:p>
      <w:pPr>
        <w:pStyle w:val="Heading3"/>
      </w:pPr>
      <w:r>
        <w:t xml:space="preserve">Prepared By</w:t>
      </w:r>
    </w:p>
    <w:p>
      <w:pPr>
        <w:pStyle w:val="FirstParagraph"/>
      </w:pPr>
      <w:r>
        <w:rPr>
          <w:bCs/>
          <w:b/>
        </w:rPr>
        <w:t xml:space="preserve">CalifEnergy Engineering Solutions LLC</w:t>
      </w:r>
      <w:r>
        <w:br/>
      </w:r>
      <w:r>
        <w:t xml:space="preserve">4500 Wilshire Boulevard, Suite 1200</w:t>
      </w:r>
      <w:r>
        <w:br/>
      </w:r>
      <w:r>
        <w:t xml:space="preserve">Los Angeles, California 90010</w:t>
      </w:r>
      <w:r>
        <w:br/>
      </w:r>
      <w:r>
        <w:t xml:space="preserve">United States</w:t>
      </w:r>
      <w:r>
        <w:br/>
      </w:r>
      <w:r>
        <w:t xml:space="preserve">Phone: (213) 555-0187</w:t>
      </w:r>
      <w:r>
        <w:br/>
      </w:r>
      <w:r>
        <w:t xml:space="preserve">Email: estimates@califenergyeng.com</w:t>
      </w:r>
      <w:r>
        <w:br/>
      </w:r>
      <w:r>
        <w:t xml:space="preserve">CA Contractor License: #9876543</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Company Name]</w:t>
      </w:r>
      <w:r>
        <w:br/>
      </w:r>
      <w:r>
        <w:rPr>
          <w:bCs/>
          <w:b/>
        </w:rPr>
        <w:t xml:space="preserve">Address:</w:t>
      </w:r>
      <w:r>
        <w:t xml:space="preserve"> </w:t>
      </w:r>
      <w:r>
        <w:t xml:space="preserve">[Client Street Address]</w:t>
      </w:r>
      <w:r>
        <w:br/>
      </w:r>
      <w:r>
        <w:t xml:space="preserve">Los Angeles, California [ZIP Code]</w:t>
      </w:r>
      <w:r>
        <w:br/>
      </w:r>
      <w:r>
        <w:t xml:space="preserve">United States</w:t>
      </w:r>
      <w:r>
        <w:br/>
      </w:r>
      <w:r>
        <w:rPr>
          <w:bCs/>
          <w:b/>
        </w:rPr>
        <w:t xml:space="preserve">Contact:</w:t>
      </w:r>
      <w:r>
        <w:t xml:space="preserve"> </w:t>
      </w:r>
      <w:r>
        <w:t xml:space="preserve">[Client Contact Person]</w:t>
      </w:r>
      <w:r>
        <w:br/>
      </w:r>
      <w:r>
        <w:rPr>
          <w:bCs/>
          <w:b/>
        </w:rPr>
        <w:t xml:space="preserve">Email:</w:t>
      </w:r>
      <w:r>
        <w:t xml:space="preserve"> </w:t>
      </w:r>
      <w:r>
        <w:t xml:space="preserve">[client@email.com]</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QE-2025-LA-0472</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Project Location:</w:t>
            </w:r>
          </w:p>
        </w:tc>
        <w:tc>
          <w:tcPr/>
          <w:p>
            <w:pPr>
              <w:pStyle w:val="Compact"/>
              <w:jc w:val="left"/>
            </w:pPr>
            <w:r>
              <w:t xml:space="preserve">United States Los Angeles &amp; Surrounding Basins</w:t>
            </w:r>
          </w:p>
        </w:tc>
      </w:tr>
      <w:tr>
        <w:tc>
          <w:tcPr/>
          <w:p>
            <w:pPr>
              <w:pStyle w:val="Compact"/>
              <w:jc w:val="left"/>
            </w:pPr>
            <w:r>
              <w:t xml:space="preserve">Service Category:</w:t>
            </w:r>
          </w:p>
        </w:tc>
        <w:tc>
          <w:tcPr/>
          <w:p>
            <w:pPr>
              <w:pStyle w:val="Compact"/>
              <w:jc w:val="left"/>
            </w:pPr>
            <w:r>
              <w:t xml:space="preserve">Petroleum Engineer Consulting &amp; Field Operations</w:t>
            </w:r>
          </w:p>
        </w:tc>
      </w:tr>
      <w:tr>
        <w:tc>
          <w:tcPr/>
          <w:p>
            <w:pPr>
              <w:pStyle w:val="Compact"/>
              <w:jc w:val="left"/>
            </w:pPr>
            <w:r>
              <w:t xml:space="preserve">Currency:</w:t>
            </w:r>
          </w:p>
        </w:tc>
        <w:tc>
          <w:tcPr/>
          <w:p>
            <w:pPr>
              <w:pStyle w:val="Compact"/>
              <w:jc w:val="left"/>
            </w:pPr>
            <w:r>
              <w:t xml:space="preserve">United States Dollars (USD)</w:t>
            </w:r>
          </w:p>
        </w:tc>
      </w:tr>
    </w:tbl>
    <w:bookmarkStart w:id="23" w:name="X172d1c808c4414fdba3465075e4be1d7d1ef344"/>
    <w:p>
      <w:pPr>
        <w:pStyle w:val="Heading2"/>
      </w:pPr>
      <w:r>
        <w:t xml:space="preserve">1. Scope of Work — Petroleum Engineer Services</w:t>
      </w:r>
    </w:p>
    <w:p>
      <w:pPr>
        <w:pStyle w:val="FirstParagraph"/>
      </w:pPr>
      <w:r>
        <w:t xml:space="preserve">This</w:t>
      </w:r>
      <w:r>
        <w:t xml:space="preserve"> </w:t>
      </w:r>
      <w:r>
        <w:t xml:space="preserve">Quotation Estimate</w:t>
      </w:r>
      <w:r>
        <w:t xml:space="preserve"> </w:t>
      </w:r>
      <w:r>
        <w:t xml:space="preserve">is issued by CalifEnergy Engineering Solutions LLC to provide comprehensive</w:t>
      </w:r>
      <w:r>
        <w:t xml:space="preserve"> </w:t>
      </w:r>
      <w:r>
        <w:t xml:space="preserve">Petroleum Engineer</w:t>
      </w:r>
      <w:r>
        <w:t xml:space="preserve"> </w:t>
      </w:r>
      <w:r>
        <w:t xml:space="preserve">consulting, analysis, and operational support services for the client's oil and gas operations located in and around</w:t>
      </w:r>
      <w:r>
        <w:t xml:space="preserve"> </w:t>
      </w:r>
      <w:r>
        <w:t xml:space="preserve">United States Los Angeles</w:t>
      </w:r>
      <w:r>
        <w:t xml:space="preserve"> </w:t>
      </w:r>
      <w:r>
        <w:t xml:space="preserve">and the broader Southern California region. The scope encompasses reservoir evaluation, well performance optimization, production forecasting, and regulatory compliance support in accordance with all applicable California State and United States federal regulations.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Reservoir Characterization &amp; Static Modeling for onshore fields in the Los Angeles Basin area</w:t>
            </w:r>
          </w:p>
        </w:tc>
        <w:tc>
          <w:tcPr/>
          <w:p>
            <w:pPr>
              <w:pStyle w:val="Compact"/>
              <w:jc w:val="left"/>
            </w:pPr>
            <w:r>
              <w:t xml:space="preserve">60 hours</w:t>
            </w:r>
          </w:p>
        </w:tc>
        <w:tc>
          <w:tcPr/>
          <w:p>
            <w:pPr>
              <w:pStyle w:val="Compact"/>
              <w:jc w:val="left"/>
            </w:pPr>
            <w:r>
              <w:t xml:space="preserve">$285.00</w:t>
            </w:r>
          </w:p>
        </w:tc>
        <w:tc>
          <w:tcPr/>
          <w:p>
            <w:pPr>
              <w:pStyle w:val="Compact"/>
              <w:jc w:val="left"/>
            </w:pPr>
            <w:r>
              <w:t xml:space="preserve">$17,100.00</w:t>
            </w:r>
          </w:p>
        </w:tc>
        <w:tc>
          <w:tcPr/>
          <w:p>
            <w:pPr>
              <w:pStyle w:val="Compact"/>
              <w:jc w:val="left"/>
            </w:pPr>
            <w:r>
              <w:t xml:space="preserve">Includes seismic interpretation</w:t>
            </w:r>
          </w:p>
        </w:tc>
      </w:tr>
      <w:tr>
        <w:tc>
          <w:tcPr/>
          <w:p>
            <w:pPr>
              <w:pStyle w:val="Compact"/>
              <w:jc w:val="left"/>
            </w:pPr>
            <w:r>
              <w:t xml:space="preserve">2</w:t>
            </w:r>
          </w:p>
        </w:tc>
        <w:tc>
          <w:tcPr/>
          <w:p>
            <w:pPr>
              <w:pStyle w:val="Compact"/>
              <w:jc w:val="left"/>
            </w:pPr>
            <w:r>
              <w:t xml:space="preserve">Well Performance Analysis &amp; Production Optimization for 12 producing wells</w:t>
            </w:r>
          </w:p>
        </w:tc>
        <w:tc>
          <w:tcPr/>
          <w:p>
            <w:pPr>
              <w:pStyle w:val="Compact"/>
              <w:jc w:val="left"/>
            </w:pPr>
            <w:r>
              <w:t xml:space="preserve">48 hours</w:t>
            </w:r>
          </w:p>
        </w:tc>
        <w:tc>
          <w:tcPr/>
          <w:p>
            <w:pPr>
              <w:pStyle w:val="Compact"/>
              <w:jc w:val="left"/>
            </w:pPr>
            <w:r>
              <w:t xml:space="preserve">$285.00</w:t>
            </w:r>
          </w:p>
        </w:tc>
        <w:tc>
          <w:tcPr/>
          <w:p>
            <w:pPr>
              <w:pStyle w:val="Compact"/>
              <w:jc w:val="left"/>
            </w:pPr>
            <w:r>
              <w:t xml:space="preserve">$13,680.00</w:t>
            </w:r>
          </w:p>
        </w:tc>
        <w:tc>
          <w:tcPr/>
          <w:p>
            <w:pPr>
              <w:pStyle w:val="Compact"/>
              <w:jc w:val="left"/>
            </w:pPr>
            <w:r>
              <w:t xml:space="preserve">Per-well nodal analysis</w:t>
            </w:r>
          </w:p>
        </w:tc>
      </w:tr>
      <w:tr>
        <w:tc>
          <w:tcPr/>
          <w:p>
            <w:pPr>
              <w:pStyle w:val="Compact"/>
              <w:jc w:val="left"/>
            </w:pPr>
            <w:r>
              <w:t xml:space="preserve">3</w:t>
            </w:r>
          </w:p>
        </w:tc>
        <w:tc>
          <w:tcPr/>
          <w:p>
            <w:pPr>
              <w:pStyle w:val="Compact"/>
              <w:jc w:val="left"/>
            </w:pPr>
            <w:r>
              <w:t xml:space="preserve">Decline Curve Analysis &amp; 10-Year Production Forecasting</w:t>
            </w:r>
          </w:p>
        </w:tc>
        <w:tc>
          <w:tcPr/>
          <w:p>
            <w:pPr>
              <w:pStyle w:val="Compact"/>
              <w:jc w:val="left"/>
            </w:pPr>
            <w:r>
              <w:t xml:space="preserve">32 hours</w:t>
            </w:r>
          </w:p>
        </w:tc>
        <w:tc>
          <w:tcPr/>
          <w:p>
            <w:pPr>
              <w:pStyle w:val="Compact"/>
              <w:jc w:val="left"/>
            </w:pPr>
            <w:r>
              <w:t xml:space="preserve">$285.00</w:t>
            </w:r>
          </w:p>
        </w:tc>
        <w:tc>
          <w:tcPr/>
          <w:p>
            <w:pPr>
              <w:pStyle w:val="Compact"/>
              <w:jc w:val="left"/>
            </w:pPr>
            <w:r>
              <w:t xml:space="preserve">$9,120.00</w:t>
            </w:r>
          </w:p>
        </w:tc>
        <w:tc>
          <w:tcPr/>
          <w:p>
            <w:pPr>
              <w:pStyle w:val="Compact"/>
              <w:jc w:val="left"/>
            </w:pPr>
            <w:r>
              <w:t xml:space="preserve">Monte Carlo simulation included</w:t>
            </w:r>
          </w:p>
        </w:tc>
      </w:tr>
      <w:tr>
        <w:tc>
          <w:tcPr/>
          <w:p>
            <w:pPr>
              <w:pStyle w:val="Compact"/>
              <w:jc w:val="left"/>
            </w:pPr>
            <w:r>
              <w:t xml:space="preserve">4</w:t>
            </w:r>
          </w:p>
        </w:tc>
        <w:tc>
          <w:tcPr/>
          <w:p>
            <w:pPr>
              <w:pStyle w:val="Compact"/>
              <w:jc w:val="left"/>
            </w:pPr>
            <w:r>
              <w:t xml:space="preserve">Waterflood &amp; Enhanced Oil Recovery (EOR) Feasibility Study</w:t>
            </w:r>
          </w:p>
        </w:tc>
        <w:tc>
          <w:tcPr/>
          <w:p>
            <w:pPr>
              <w:pStyle w:val="Compact"/>
              <w:jc w:val="left"/>
            </w:pPr>
            <w:r>
              <w:t xml:space="preserve">40 hours</w:t>
            </w:r>
          </w:p>
        </w:tc>
        <w:tc>
          <w:tcPr/>
          <w:p>
            <w:pPr>
              <w:pStyle w:val="Compact"/>
              <w:jc w:val="left"/>
            </w:pPr>
            <w:r>
              <w:t xml:space="preserve">$310.00</w:t>
            </w:r>
          </w:p>
        </w:tc>
        <w:tc>
          <w:tcPr/>
          <w:p>
            <w:pPr>
              <w:pStyle w:val="Compact"/>
              <w:jc w:val="left"/>
            </w:pPr>
            <w:r>
              <w:t xml:space="preserve">$12,400.00</w:t>
            </w:r>
          </w:p>
        </w:tc>
        <w:tc>
          <w:tcPr/>
          <w:p>
            <w:pPr>
              <w:pStyle w:val="Compact"/>
              <w:jc w:val="left"/>
            </w:pPr>
            <w:r>
              <w:t xml:space="preserve">Senior Petroleum Engineer</w:t>
            </w:r>
          </w:p>
        </w:tc>
      </w:tr>
      <w:tr>
        <w:tc>
          <w:tcPr/>
          <w:p>
            <w:pPr>
              <w:pStyle w:val="Compact"/>
              <w:jc w:val="left"/>
            </w:pPr>
            <w:r>
              <w:t xml:space="preserve">5</w:t>
            </w:r>
          </w:p>
        </w:tc>
        <w:tc>
          <w:tcPr/>
          <w:p>
            <w:pPr>
              <w:pStyle w:val="Compact"/>
              <w:jc w:val="left"/>
            </w:pPr>
            <w:r>
              <w:t xml:space="preserve">Regulatory Compliance Review &amp; California DTSC / BSEE Documentation</w:t>
            </w:r>
          </w:p>
        </w:tc>
        <w:tc>
          <w:tcPr/>
          <w:p>
            <w:pPr>
              <w:pStyle w:val="Compact"/>
              <w:jc w:val="left"/>
            </w:pPr>
            <w:r>
              <w:t xml:space="preserve">24 hours</w:t>
            </w:r>
          </w:p>
        </w:tc>
        <w:tc>
          <w:tcPr/>
          <w:p>
            <w:pPr>
              <w:pStyle w:val="Compact"/>
              <w:jc w:val="left"/>
            </w:pPr>
            <w:r>
              <w:t xml:space="preserve">$265.00</w:t>
            </w:r>
          </w:p>
        </w:tc>
        <w:tc>
          <w:tcPr/>
          <w:p>
            <w:pPr>
              <w:pStyle w:val="Compact"/>
              <w:jc w:val="left"/>
            </w:pPr>
            <w:r>
              <w:t xml:space="preserve">$6,360.00</w:t>
            </w:r>
          </w:p>
        </w:tc>
        <w:tc>
          <w:tcPr/>
          <w:p>
            <w:pPr>
              <w:pStyle w:val="Compact"/>
              <w:jc w:val="left"/>
            </w:pPr>
            <w:r>
              <w:t xml:space="preserve">United States Los Angeles jurisdiction</w:t>
            </w:r>
          </w:p>
        </w:tc>
      </w:tr>
      <w:tr>
        <w:tc>
          <w:tcPr/>
          <w:p>
            <w:pPr>
              <w:pStyle w:val="Compact"/>
              <w:jc w:val="left"/>
            </w:pPr>
            <w:r>
              <w:t xml:space="preserve">6</w:t>
            </w:r>
          </w:p>
        </w:tc>
        <w:tc>
          <w:tcPr/>
          <w:p>
            <w:pPr>
              <w:pStyle w:val="Compact"/>
              <w:jc w:val="left"/>
            </w:pPr>
            <w:r>
              <w:t xml:space="preserve">Site Visits &amp; Field Data Collection (Los Angeles County operations)</w:t>
            </w:r>
          </w:p>
        </w:tc>
        <w:tc>
          <w:tcPr/>
          <w:p>
            <w:pPr>
              <w:pStyle w:val="Compact"/>
              <w:jc w:val="left"/>
            </w:pPr>
            <w:r>
              <w:t xml:space="preserve">5 days</w:t>
            </w:r>
          </w:p>
        </w:tc>
        <w:tc>
          <w:tcPr/>
          <w:p>
            <w:pPr>
              <w:pStyle w:val="Compact"/>
              <w:jc w:val="left"/>
            </w:pPr>
            <w:r>
              <w:t xml:space="preserve">$1,450.00</w:t>
            </w:r>
          </w:p>
        </w:tc>
        <w:tc>
          <w:tcPr/>
          <w:p>
            <w:pPr>
              <w:pStyle w:val="Compact"/>
              <w:jc w:val="left"/>
            </w:pPr>
            <w:r>
              <w:t xml:space="preserve">$7,250.00</w:t>
            </w:r>
          </w:p>
        </w:tc>
        <w:tc>
          <w:tcPr/>
          <w:p>
            <w:pPr>
              <w:pStyle w:val="Compact"/>
              <w:jc w:val="left"/>
            </w:pPr>
            <w:r>
              <w:t xml:space="preserve">Travel within LA County</w:t>
            </w:r>
          </w:p>
        </w:tc>
      </w:tr>
      <w:tr>
        <w:tc>
          <w:tcPr/>
          <w:p>
            <w:pPr>
              <w:pStyle w:val="Compact"/>
              <w:jc w:val="left"/>
            </w:pPr>
            <w:r>
              <w:t xml:space="preserve">7</w:t>
            </w:r>
          </w:p>
        </w:tc>
        <w:tc>
          <w:tcPr/>
          <w:p>
            <w:pPr>
              <w:pStyle w:val="Compact"/>
              <w:jc w:val="left"/>
            </w:pPr>
            <w:r>
              <w:t xml:space="preserve">Final Technical Report, Presentations &amp; Recommendations</w:t>
            </w:r>
          </w:p>
        </w:tc>
        <w:tc>
          <w:tcPr/>
          <w:p>
            <w:pPr>
              <w:pStyle w:val="Compact"/>
              <w:jc w:val="left"/>
            </w:pPr>
            <w:r>
              <w:t xml:space="preserve">20 hours</w:t>
            </w:r>
          </w:p>
        </w:tc>
        <w:tc>
          <w:tcPr/>
          <w:p>
            <w:pPr>
              <w:pStyle w:val="Compact"/>
              <w:jc w:val="left"/>
            </w:pPr>
            <w:r>
              <w:t xml:space="preserve">$285.00</w:t>
            </w:r>
          </w:p>
        </w:tc>
        <w:tc>
          <w:tcPr/>
          <w:p>
            <w:pPr>
              <w:pStyle w:val="Compact"/>
              <w:jc w:val="left"/>
            </w:pPr>
            <w:r>
              <w:t xml:space="preserve">$5,700.00</w:t>
            </w:r>
          </w:p>
        </w:tc>
        <w:tc>
          <w:tcPr/>
          <w:p>
            <w:pPr>
              <w:pStyle w:val="Compact"/>
              <w:jc w:val="left"/>
            </w:pPr>
            <w:r>
              <w:t xml:space="preserve">3 deliverable copies</w:t>
            </w:r>
          </w:p>
        </w:tc>
      </w:tr>
      <w:tr>
        <w:tc>
          <w:tcPr/>
          <w:p>
            <w:pPr>
              <w:pStyle w:val="Compact"/>
              <w:jc w:val="left"/>
            </w:pPr>
            <w:r>
              <w:t xml:space="preserve">8</w:t>
            </w:r>
          </w:p>
        </w:tc>
        <w:tc>
          <w:tcPr/>
          <w:p>
            <w:pPr>
              <w:pStyle w:val="Compact"/>
              <w:jc w:val="left"/>
            </w:pPr>
            <w:r>
              <w:t xml:space="preserve">Project Management &amp; Client Coordination (ongoing)</w:t>
            </w:r>
          </w:p>
        </w:tc>
        <w:tc>
          <w:tcPr/>
          <w:p>
            <w:pPr>
              <w:pStyle w:val="Compact"/>
              <w:jc w:val="left"/>
            </w:pPr>
            <w:r>
              <w:t xml:space="preserve">16 hours</w:t>
            </w:r>
          </w:p>
        </w:tc>
        <w:tc>
          <w:tcPr/>
          <w:p>
            <w:pPr>
              <w:pStyle w:val="Compact"/>
              <w:jc w:val="left"/>
            </w:pPr>
            <w:r>
              <w:t xml:space="preserve">$240.00</w:t>
            </w:r>
          </w:p>
        </w:tc>
        <w:tc>
          <w:tcPr/>
          <w:p>
            <w:pPr>
              <w:pStyle w:val="Compact"/>
              <w:jc w:val="left"/>
            </w:pPr>
            <w:r>
              <w:t xml:space="preserve">$3,840.00</w:t>
            </w:r>
          </w:p>
        </w:tc>
        <w:tc>
          <w:tcPr/>
          <w:p>
            <w:pPr>
              <w:pStyle w:val="Compact"/>
              <w:jc w:val="left"/>
            </w:pPr>
            <w:r>
              <w:t xml:space="preserve">Weekly status meetings</w:t>
            </w:r>
          </w:p>
        </w:tc>
      </w:tr>
      <w:tr>
        <w:tc>
          <w:tcPr>
            <w:gridSpan w:val="4"/>
          </w:tcPr>
          <w:p>
            <w:pPr>
              <w:pStyle w:val="Compact"/>
              <w:jc w:val="left"/>
            </w:pPr>
            <w:r>
              <w:t xml:space="preserve">TOTAL ESTIMATED COST</w:t>
            </w:r>
          </w:p>
        </w:tc>
        <w:tc>
          <w:tcPr/>
          <w:p>
            <w:pPr>
              <w:pStyle w:val="Compact"/>
              <w:jc w:val="left"/>
            </w:pPr>
            <w:r>
              <w:t xml:space="preserve">$75,450.00</w:t>
            </w:r>
          </w:p>
        </w:tc>
        <w:tc>
          <w:tcPr/>
          <w:p>
            <w:pPr>
              <w:pStyle w:val="Compact"/>
            </w:pPr>
          </w:p>
        </w:tc>
      </w:tr>
    </w:tbl>
    <w:bookmarkEnd w:id="23"/>
    <w:bookmarkStart w:id="24" w:name="assumptions-exclusions"/>
    <w:p>
      <w:pPr>
        <w:pStyle w:val="Heading2"/>
      </w:pPr>
      <w:r>
        <w:t xml:space="preserve">2. Assumptions &amp; Exclusions</w:t>
      </w:r>
    </w:p>
    <w:p>
      <w:pPr>
        <w:pStyle w:val="FirstParagraph"/>
      </w:pPr>
      <w:r>
        <w:t xml:space="preserve">This</w:t>
      </w:r>
      <w:r>
        <w:t xml:space="preserve"> </w:t>
      </w:r>
      <w:r>
        <w:t xml:space="preserve">Quotation Estimate</w:t>
      </w:r>
      <w:r>
        <w:t xml:space="preserve"> </w:t>
      </w:r>
      <w:r>
        <w:t xml:space="preserve">is based on the following assumptions regarding the</w:t>
      </w:r>
      <w:r>
        <w:t xml:space="preserve"> </w:t>
      </w:r>
      <w:r>
        <w:t xml:space="preserve">Petroleum Engineer</w:t>
      </w:r>
      <w:r>
        <w:t xml:space="preserve"> </w:t>
      </w:r>
      <w:r>
        <w:t xml:space="preserve">engagement in</w:t>
      </w:r>
      <w:r>
        <w:t xml:space="preserve"> </w:t>
      </w:r>
      <w:r>
        <w:t xml:space="preserve">United States Los Angeles</w:t>
      </w:r>
      <w:r>
        <w:t xml:space="preserve">:</w:t>
      </w:r>
    </w:p>
    <w:p>
      <w:pPr>
        <w:numPr>
          <w:ilvl w:val="0"/>
          <w:numId w:val="1001"/>
        </w:numPr>
        <w:pStyle w:val="Compact"/>
      </w:pPr>
      <w:r>
        <w:t xml:space="preserve">All well data, seismic datasets, and core samples shall be provided by the client within 10 business days of contract execution.</w:t>
      </w:r>
    </w:p>
    <w:p>
      <w:pPr>
        <w:numPr>
          <w:ilvl w:val="0"/>
          <w:numId w:val="1001"/>
        </w:numPr>
        <w:pStyle w:val="Compact"/>
      </w:pPr>
      <w:r>
        <w:t xml:space="preserve">Travel is limited to Los Angeles County and adjacent areas (Orange County, Ventura County). Out-of-area travel will be billed at $0.85 per mile plus per diem.</w:t>
      </w:r>
    </w:p>
    <w:p>
      <w:pPr>
        <w:numPr>
          <w:ilvl w:val="0"/>
          <w:numId w:val="1001"/>
        </w:numPr>
        <w:pStyle w:val="Compact"/>
      </w:pPr>
      <w:r>
        <w:t xml:space="preserve">Software licensing costs for specialized reservoir simulation tools (e.g., Eclipse, tNavigator) are included for the project duration only.</w:t>
      </w:r>
    </w:p>
    <w:p>
      <w:pPr>
        <w:numPr>
          <w:ilvl w:val="0"/>
          <w:numId w:val="1001"/>
        </w:numPr>
        <w:pStyle w:val="Compact"/>
      </w:pPr>
      <w:r>
        <w:t xml:space="preserve">This estimate does not include third-party laboratory analysis costs, which are estimated at an additional $8,000–$15,000 depending on scope.</w:t>
      </w:r>
    </w:p>
    <w:p>
      <w:pPr>
        <w:numPr>
          <w:ilvl w:val="0"/>
          <w:numId w:val="1001"/>
        </w:numPr>
        <w:pStyle w:val="Compact"/>
      </w:pPr>
      <w:r>
        <w:t xml:space="preserve">Any scope changes exceeding 10% of the original hours will require a revised Quotation Estimate and mutual written approval.</w:t>
      </w:r>
    </w:p>
    <w:bookmarkEnd w:id="24"/>
    <w:bookmarkStart w:id="25" w:name="payment-schedule"/>
    <w:p>
      <w:pPr>
        <w:pStyle w:val="Heading2"/>
      </w:pPr>
      <w:r>
        <w:t xml:space="preserve">3.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Due Date</w:t>
            </w:r>
          </w:p>
        </w:tc>
      </w:tr>
      <w:tr>
        <w:tc>
          <w:tcPr/>
          <w:p>
            <w:pPr>
              <w:pStyle w:val="Compact"/>
              <w:jc w:val="left"/>
            </w:pPr>
            <w:r>
              <w:t xml:space="preserve">Contract Execution &amp; Mobilization</w:t>
            </w:r>
          </w:p>
        </w:tc>
        <w:tc>
          <w:tcPr/>
          <w:p>
            <w:pPr>
              <w:pStyle w:val="Compact"/>
              <w:jc w:val="left"/>
            </w:pPr>
            <w:r>
              <w:t xml:space="preserve">25%</w:t>
            </w:r>
          </w:p>
        </w:tc>
        <w:tc>
          <w:tcPr/>
          <w:p>
            <w:pPr>
              <w:pStyle w:val="Compact"/>
              <w:jc w:val="left"/>
            </w:pPr>
            <w:r>
              <w:t xml:space="preserve">$18,862.50</w:t>
            </w:r>
          </w:p>
        </w:tc>
        <w:tc>
          <w:tcPr/>
          <w:p>
            <w:pPr>
              <w:pStyle w:val="Compact"/>
              <w:jc w:val="left"/>
            </w:pPr>
            <w:r>
              <w:t xml:space="preserve">Upon signing</w:t>
            </w:r>
          </w:p>
        </w:tc>
      </w:tr>
      <w:tr>
        <w:tc>
          <w:tcPr/>
          <w:p>
            <w:pPr>
              <w:pStyle w:val="Compact"/>
              <w:jc w:val="left"/>
            </w:pPr>
            <w:r>
              <w:t xml:space="preserve">Completion of Reservoir Characterization (Item 1)</w:t>
            </w:r>
          </w:p>
        </w:tc>
        <w:tc>
          <w:tcPr/>
          <w:p>
            <w:pPr>
              <w:pStyle w:val="Compact"/>
              <w:jc w:val="left"/>
            </w:pPr>
            <w:r>
              <w:t xml:space="preserve">25%</w:t>
            </w:r>
          </w:p>
        </w:tc>
        <w:tc>
          <w:tcPr/>
          <w:p>
            <w:pPr>
              <w:pStyle w:val="Compact"/>
              <w:jc w:val="left"/>
            </w:pPr>
            <w:r>
              <w:t xml:space="preserve">$18,862.50</w:t>
            </w:r>
          </w:p>
        </w:tc>
        <w:tc>
          <w:tcPr/>
          <w:p>
            <w:pPr>
              <w:pStyle w:val="Compact"/>
              <w:jc w:val="left"/>
            </w:pPr>
            <w:r>
              <w:t xml:space="preserve">Week 6</w:t>
            </w:r>
          </w:p>
        </w:tc>
      </w:tr>
      <w:tr>
        <w:tc>
          <w:tcPr/>
          <w:p>
            <w:pPr>
              <w:pStyle w:val="Compact"/>
              <w:jc w:val="left"/>
            </w:pPr>
            <w:r>
              <w:t xml:space="preserve">Completion of Well Analysis &amp; EOR Study (Items 2–4)</w:t>
            </w:r>
          </w:p>
        </w:tc>
        <w:tc>
          <w:tcPr/>
          <w:p>
            <w:pPr>
              <w:pStyle w:val="Compact"/>
              <w:jc w:val="left"/>
            </w:pPr>
            <w:r>
              <w:t xml:space="preserve">30%</w:t>
            </w:r>
          </w:p>
        </w:tc>
        <w:tc>
          <w:tcPr/>
          <w:p>
            <w:pPr>
              <w:pStyle w:val="Compact"/>
              <w:jc w:val="left"/>
            </w:pPr>
            <w:r>
              <w:t xml:space="preserve">$22,635.00</w:t>
            </w:r>
          </w:p>
        </w:tc>
        <w:tc>
          <w:tcPr/>
          <w:p>
            <w:pPr>
              <w:pStyle w:val="Compact"/>
              <w:jc w:val="left"/>
            </w:pPr>
            <w:r>
              <w:t xml:space="preserve">Week 12</w:t>
            </w:r>
          </w:p>
        </w:tc>
      </w:tr>
      <w:tr>
        <w:tc>
          <w:tcPr/>
          <w:p>
            <w:pPr>
              <w:pStyle w:val="Compact"/>
              <w:jc w:val="left"/>
            </w:pPr>
            <w:r>
              <w:t xml:space="preserve">Final Report Delivery &amp; Closeout (Items 5–8)</w:t>
            </w:r>
          </w:p>
        </w:tc>
        <w:tc>
          <w:tcPr/>
          <w:p>
            <w:pPr>
              <w:pStyle w:val="Compact"/>
              <w:jc w:val="left"/>
            </w:pPr>
            <w:r>
              <w:t xml:space="preserve">20%</w:t>
            </w:r>
          </w:p>
        </w:tc>
        <w:tc>
          <w:tcPr/>
          <w:p>
            <w:pPr>
              <w:pStyle w:val="Compact"/>
              <w:jc w:val="left"/>
            </w:pPr>
            <w:r>
              <w:t xml:space="preserve">$15,090.00</w:t>
            </w:r>
          </w:p>
        </w:tc>
        <w:tc>
          <w:tcPr/>
          <w:p>
            <w:pPr>
              <w:pStyle w:val="Compact"/>
              <w:jc w:val="left"/>
            </w:pPr>
            <w:r>
              <w:t xml:space="preserve">Week 16</w:t>
            </w:r>
          </w:p>
        </w:tc>
      </w:tr>
    </w:tbl>
    <w:bookmarkEnd w:id="25"/>
    <w:bookmarkStart w:id="26" w:name="terms-conditions"/>
    <w:p>
      <w:pPr>
        <w:pStyle w:val="Heading2"/>
      </w:pPr>
      <w:r>
        <w:t xml:space="preserve">4. Terms &amp; Conditions</w:t>
      </w:r>
    </w:p>
    <w:p>
      <w:pPr>
        <w:numPr>
          <w:ilvl w:val="0"/>
          <w:numId w:val="1002"/>
        </w:numPr>
        <w:pStyle w:val="Compact"/>
      </w:pPr>
      <w:r>
        <w:t xml:space="preserve">This Quotation Estimate is valid for thirty (30) calendar days from the date of issue. After the expiration date, rates and availability of the assigned Petroleum Engineer team may be subject to revision.</w:t>
      </w:r>
    </w:p>
    <w:p>
      <w:pPr>
        <w:numPr>
          <w:ilvl w:val="0"/>
          <w:numId w:val="1002"/>
        </w:numPr>
        <w:pStyle w:val="Compact"/>
      </w:pPr>
      <w:r>
        <w:t xml:space="preserve">All payments are due within thirty (30) days of invoice date. Late payments shall accrue interest at 1.5% per month or the maximum rate permitted under California law, whichever is lower.</w:t>
      </w:r>
    </w:p>
    <w:p>
      <w:pPr>
        <w:numPr>
          <w:ilvl w:val="0"/>
          <w:numId w:val="1002"/>
        </w:numPr>
        <w:pStyle w:val="Compact"/>
      </w:pPr>
      <w:r>
        <w:t xml:space="preserve">CalifEnergy Engineering Solutions LLC shall maintain professional liability insurance of no less than $2,000,000 per occurrence, naming the client as an additional insured, throughout the project duration in United States Los Angeles.</w:t>
      </w:r>
    </w:p>
    <w:p>
      <w:pPr>
        <w:numPr>
          <w:ilvl w:val="0"/>
          <w:numId w:val="1002"/>
        </w:numPr>
        <w:pStyle w:val="Compact"/>
      </w:pPr>
      <w:r>
        <w:t xml:space="preserve">All deliverables, including reports, models, and data files, shall become the exclusive property of the client upon full payment. The Petroleum Engineer team retains the right to reference the project in anonymized case studies.</w:t>
      </w:r>
    </w:p>
    <w:p>
      <w:pPr>
        <w:numPr>
          <w:ilvl w:val="0"/>
          <w:numId w:val="1002"/>
        </w:numPr>
        <w:pStyle w:val="Compact"/>
      </w:pPr>
      <w:r>
        <w:t xml:space="preserve">This engagement is governed by the laws of the State of California, United States. Any disputes shall be resolved through binding arbitration in Los Angeles County under the rules of the American Arbitration Association.</w:t>
      </w:r>
    </w:p>
    <w:p>
      <w:pPr>
        <w:numPr>
          <w:ilvl w:val="0"/>
          <w:numId w:val="1002"/>
        </w:numPr>
        <w:pStyle w:val="Compact"/>
      </w:pPr>
      <w:r>
        <w:t xml:space="preserve">The client agrees to provide reasonable access to operational sites, data rooms, and personnel necessary for the Petroleum Engineer to perform the scoped services.</w:t>
      </w:r>
    </w:p>
    <w:p>
      <w:pPr>
        <w:numPr>
          <w:ilvl w:val="0"/>
          <w:numId w:val="1002"/>
        </w:numPr>
        <w:pStyle w:val="Compact"/>
      </w:pPr>
      <w:r>
        <w:t xml:space="preserve">Force majeure events, including but not limited to natural disasters affecting the United States Los Angeles region, shall extend project timelines on a day-for-day basis without penalty to either party.</w:t>
      </w:r>
    </w:p>
    <w:p>
      <w:pPr>
        <w:pStyle w:val="FirstParagraph"/>
      </w:pPr>
      <w:r>
        <w:rPr>
          <w:bCs/>
          <w:b/>
        </w:rPr>
        <w:t xml:space="preserve">Note:</w:t>
      </w:r>
      <w:r>
        <w:t xml:space="preserve"> </w:t>
      </w:r>
      <w:r>
        <w:t xml:space="preserve">This Quotation Estimate is a good-faith projection of costs based on current information available to our Petroleum Engineer team. Final invoicing will reflect actual hours and expenses incurred. All figures are in United States Dollars (USD) and are subject to applicable California state and federal taxes.</w:t>
      </w:r>
    </w:p>
    <w:bookmarkEnd w:id="26"/>
    <w:bookmarkStart w:id="27" w:name="acceptance-authorization"/>
    <w:p>
      <w:pPr>
        <w:pStyle w:val="Heading2"/>
      </w:pPr>
      <w:r>
        <w:t xml:space="preserve">5. Acceptance &amp; Authorization</w:t>
      </w:r>
    </w:p>
    <w:p>
      <w:pPr>
        <w:pStyle w:val="FirstParagraph"/>
      </w:pPr>
      <w:r>
        <w:t xml:space="preserve">By signing below, both parties acknowledge and agree to the terms, scope, and pricing outlined in this Quotation Estimate for Petroleum Engineer services in United States Los Angeles.</w:t>
      </w:r>
    </w:p>
    <w:p>
      <w:pPr>
        <w:pStyle w:val="BodyText"/>
      </w:pPr>
      <w:r>
        <w:rPr>
          <w:bCs/>
          <w:b/>
        </w:rPr>
        <w:t xml:space="preserve">For CalifEnergy Engineering Solutions LLC:</w:t>
      </w:r>
    </w:p>
    <w:p>
      <w:pPr>
        <w:pStyle w:val="BodyText"/>
      </w:pPr>
      <w:r>
        <w:rPr>
          <w:bCs/>
          <w:b/>
        </w:rPr>
        <w:t xml:space="preserve">Signature</w:t>
      </w:r>
      <w:r>
        <w:br/>
      </w:r>
      <w:r>
        <w:t xml:space="preserve">Name: Michael R. Thornton, P.E.</w:t>
      </w:r>
      <w:r>
        <w:br/>
      </w:r>
      <w:r>
        <w:t xml:space="preserve">Title: Lead Petroleum Engineer / Principal</w:t>
      </w:r>
      <w:r>
        <w:br/>
      </w:r>
      <w:r>
        <w:t xml:space="preserve">Date: ______________________</w:t>
      </w:r>
    </w:p>
    <w:p>
      <w:pPr>
        <w:pStyle w:val="BodyText"/>
      </w:pPr>
      <w:r>
        <w:rPr>
          <w:bCs/>
          <w:b/>
        </w:rPr>
        <w:t xml:space="preserve">For the Client:</w:t>
      </w:r>
    </w:p>
    <w:p>
      <w:pPr>
        <w:pStyle w:val="BodyText"/>
      </w:pPr>
      <w:r>
        <w:rPr>
          <w:bCs/>
          <w:b/>
        </w:rPr>
        <w:t xml:space="preserve">Signature</w:t>
      </w:r>
      <w:r>
        <w:br/>
      </w:r>
      <w:r>
        <w:t xml:space="preserve">Name: ______________________</w:t>
      </w:r>
      <w:r>
        <w:br/>
      </w:r>
      <w:r>
        <w:t xml:space="preserve">Title: ______________________</w:t>
      </w:r>
      <w:r>
        <w:br/>
      </w:r>
      <w:r>
        <w:t xml:space="preserve">Date: ______________________</w:t>
      </w:r>
    </w:p>
    <w:p>
      <w:pPr>
        <w:pStyle w:val="BodyText"/>
      </w:pPr>
      <w:r>
        <w:t xml:space="preserve">Quotation Estimate No. QE-2025-LA-0472 — CalifEnergy Engineering Solutions LLC — Los Angeles, California, United States</w:t>
      </w:r>
    </w:p>
    <w:p>
      <w:pPr>
        <w:pStyle w:val="BodyText"/>
      </w:pPr>
      <w:r>
        <w:t xml:space="preserve">This document is confidential and intended solely for the named recipient. Unauthorized reproduction or distribution is prohibited.</w:t>
      </w:r>
    </w:p>
    <w:p>
      <w:pPr>
        <w:pStyle w:val="BodyText"/>
      </w:pPr>
      <w:r>
        <w:t xml:space="preserve">© 2025 CalifEnergy Engineering Solutions LLC.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United States Los Angeles</dc:title>
  <dc:creator/>
  <dc:language>en</dc:language>
  <cp:keywords/>
  <dcterms:created xsi:type="dcterms:W3CDTF">2026-10-10T03:43:30Z</dcterms:created>
  <dcterms:modified xsi:type="dcterms:W3CDTF">2026-10-10T03:43:30Z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