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Pharmacist Services &amp; Consulting</w:t>
      </w:r>
    </w:p>
    <w:p>
      <w:pPr>
        <w:pStyle w:val="BodyText"/>
      </w:pPr>
      <w:r>
        <w:t xml:space="preserve">Rio de Janeiro, State of Rio de Janeiro, Brazil</w:t>
      </w:r>
    </w:p>
    <w:p>
      <w:pPr>
        <w:pStyle w:val="BodyText"/>
      </w:pPr>
      <w:r>
        <w:t xml:space="preserve">Document No. QE-RJ-2025-0472</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BRL (Brazilian Real)</w:t>
      </w:r>
    </w:p>
    <w:p>
      <w:pPr>
        <w:pStyle w:val="BodyText"/>
      </w:pPr>
      <w:r>
        <w:rPr>
          <w:bCs/>
          <w:b/>
        </w:rPr>
        <w:t xml:space="preserve">Prepared For:</w:t>
      </w:r>
      <w:r>
        <w:t xml:space="preserve"> </w:t>
      </w:r>
      <w:r>
        <w:t xml:space="preserve">Client / Hiring Entity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costs associated with the engagement of a qualified</w:t>
      </w:r>
      <w:r>
        <w:t xml:space="preserve"> </w:t>
      </w:r>
      <w:r>
        <w:t xml:space="preserve">Pharmacist</w:t>
      </w:r>
      <w:r>
        <w:t xml:space="preserve"> </w:t>
      </w:r>
      <w:r>
        <w:t xml:space="preserve">professional for services to be rendered in</w:t>
      </w:r>
      <w:r>
        <w:t xml:space="preserve"> </w:t>
      </w:r>
      <w:r>
        <w:t xml:space="preserve">Brazil, Rio de Janeiro</w:t>
      </w:r>
      <w:r>
        <w:t xml:space="preserve">. The purpose of this estimate is to outline all financial obligations, service deliverables, and contractual terms that will govern the professional relationship between the service provider and the client. All pricing presented herein reflects current market rates for pharmaceutical professional services in the metropolitan area of Rio de Janeiro, taking into account local regulatory requirements established by the Conselho Federal de Farmácia (CFF) and the Conselho Regional de Farmácia (CRF-RJ).</w:t>
      </w:r>
    </w:p>
    <w:p>
      <w:pPr>
        <w:pStyle w:val="BodyText"/>
      </w:pPr>
      <w:r>
        <w:t xml:space="preserve">This Quotation Estimate covers a twelve-month engagement period and includes all standard professional services expected of a licensed Pharmacist operating within the healthcare and pharmaceutical sectors of Brazil, Rio de Janeiro. The estimate has been calculated based on prevailing labor market conditions, applicable tax regulations under Brazilian federal and state law, and the specific scope of duties outlined in Section 3 below.</w:t>
      </w:r>
    </w:p>
    <w:bookmarkEnd w:id="21"/>
    <w:bookmarkStart w:id="22" w:name="client-and-provider-information"/>
    <w:p>
      <w:pPr>
        <w:pStyle w:val="Heading2"/>
      </w:pPr>
      <w:r>
        <w:t xml:space="preserve">2. Client and Provider Information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Provider (Service Entity)</w:t>
            </w:r>
          </w:p>
        </w:tc>
        <w:tc>
          <w:tcPr/>
          <w:p>
            <w:pPr>
              <w:pStyle w:val="Compact"/>
              <w:jc w:val="left"/>
            </w:pPr>
            <w:r>
              <w:t xml:space="preserve">Client (Hiring Entity)</w:t>
            </w:r>
          </w:p>
        </w:tc>
      </w:tr>
      <w:tr>
        <w:tc>
          <w:tcPr/>
          <w:p>
            <w:pPr>
              <w:pStyle w:val="Compact"/>
              <w:jc w:val="left"/>
            </w:pPr>
            <w:r>
              <w:rPr>
                <w:bCs/>
                <w:b/>
              </w:rPr>
              <w:t xml:space="preserve">Company Name</w:t>
            </w:r>
          </w:p>
        </w:tc>
        <w:tc>
          <w:tcPr/>
          <w:p>
            <w:pPr>
              <w:pStyle w:val="Compact"/>
              <w:jc w:val="left"/>
            </w:pPr>
            <w:r>
              <w:t xml:space="preserve">PharmaConsult RJ Serviços Farmacêuticos Ltda.</w:t>
            </w:r>
          </w:p>
        </w:tc>
        <w:tc>
          <w:tcPr/>
          <w:p>
            <w:pPr>
              <w:pStyle w:val="Compact"/>
              <w:jc w:val="left"/>
            </w:pPr>
            <w:r>
              <w:t xml:space="preserve">[Client Legal Name]</w:t>
            </w:r>
          </w:p>
        </w:tc>
      </w:tr>
      <w:tr>
        <w:tc>
          <w:tcPr/>
          <w:p>
            <w:pPr>
              <w:pStyle w:val="Compact"/>
              <w:jc w:val="left"/>
            </w:pPr>
            <w:r>
              <w:rPr>
                <w:bCs/>
                <w:b/>
              </w:rPr>
              <w:t xml:space="preserve">CNPJ / Tax ID</w:t>
            </w:r>
          </w:p>
        </w:tc>
        <w:tc>
          <w:tcPr/>
          <w:p>
            <w:pPr>
              <w:pStyle w:val="Compact"/>
              <w:jc w:val="left"/>
            </w:pPr>
            <w:r>
              <w:t xml:space="preserve">12.345.678/0001-90</w:t>
            </w:r>
          </w:p>
        </w:tc>
        <w:tc>
          <w:tcPr/>
          <w:p>
            <w:pPr>
              <w:pStyle w:val="Compact"/>
              <w:jc w:val="left"/>
            </w:pPr>
            <w:r>
              <w:t xml:space="preserve">[Client CNPJ / CPF]</w:t>
            </w:r>
          </w:p>
        </w:tc>
      </w:tr>
      <w:tr>
        <w:tc>
          <w:tcPr/>
          <w:p>
            <w:pPr>
              <w:pStyle w:val="Compact"/>
              <w:jc w:val="left"/>
            </w:pPr>
            <w:r>
              <w:rPr>
                <w:bCs/>
                <w:b/>
              </w:rPr>
              <w:t xml:space="preserve">Address</w:t>
            </w:r>
          </w:p>
        </w:tc>
        <w:tc>
          <w:tcPr/>
          <w:p>
            <w:pPr>
              <w:pStyle w:val="Compact"/>
              <w:jc w:val="left"/>
            </w:pPr>
            <w:r>
              <w:t xml:space="preserve">Av. Rio Branco, 1200, Sala 45, Centro, Rio de Janeiro – RJ, CEP 20040-001, Brazil</w:t>
            </w:r>
          </w:p>
        </w:tc>
        <w:tc>
          <w:tcPr/>
          <w:p>
            <w:pPr>
              <w:pStyle w:val="Compact"/>
              <w:jc w:val="left"/>
            </w:pPr>
            <w:r>
              <w:t xml:space="preserve">[Client Address, Rio de Janeiro, Brazil]</w:t>
            </w:r>
          </w:p>
        </w:tc>
      </w:tr>
      <w:tr>
        <w:tc>
          <w:tcPr/>
          <w:p>
            <w:pPr>
              <w:pStyle w:val="Compact"/>
              <w:jc w:val="left"/>
            </w:pPr>
            <w:r>
              <w:rPr>
                <w:bCs/>
                <w:b/>
              </w:rPr>
              <w:t xml:space="preserve">Contact</w:t>
            </w:r>
          </w:p>
        </w:tc>
        <w:tc>
          <w:tcPr/>
          <w:p>
            <w:pPr>
              <w:pStyle w:val="Compact"/>
              <w:jc w:val="left"/>
            </w:pPr>
            <w:r>
              <w:t xml:space="preserve">contato@pharmaconsult-rj.com.br | +55 (21) 3456-7890</w:t>
            </w:r>
          </w:p>
        </w:tc>
        <w:tc>
          <w:tcPr/>
          <w:p>
            <w:pPr>
              <w:pStyle w:val="Compact"/>
              <w:jc w:val="left"/>
            </w:pPr>
            <w:r>
              <w:t xml:space="preserve">[Client Contact Information]</w:t>
            </w:r>
          </w:p>
        </w:tc>
      </w:tr>
    </w:tbl>
    <w:bookmarkEnd w:id="22"/>
    <w:bookmarkStart w:id="23" w:name="scope-of-pharmacist-services"/>
    <w:p>
      <w:pPr>
        <w:pStyle w:val="Heading2"/>
      </w:pPr>
      <w:r>
        <w:t xml:space="preserve">3. Scope of Pharmacist Services</w:t>
      </w:r>
    </w:p>
    <w:p>
      <w:pPr>
        <w:pStyle w:val="FirstParagraph"/>
      </w:pPr>
      <w:r>
        <w:t xml:space="preserve">The</w:t>
      </w:r>
      <w:r>
        <w:t xml:space="preserve"> </w:t>
      </w:r>
      <w:r>
        <w:t xml:space="preserve">Pharmacist</w:t>
      </w:r>
      <w:r>
        <w:t xml:space="preserve"> </w:t>
      </w:r>
      <w:r>
        <w:t xml:space="preserve">engaged under this Quotation Estimate shall perform the following professional duties within the jurisdiction of Brazil, Rio de Janeiro:</w:t>
      </w:r>
    </w:p>
    <w:p>
      <w:pPr>
        <w:numPr>
          <w:ilvl w:val="0"/>
          <w:numId w:val="1001"/>
        </w:numPr>
        <w:pStyle w:val="Compact"/>
      </w:pPr>
      <w:r>
        <w:t xml:space="preserve">Supervision and management of pharmaceutical dispensing operations in compliance with ANVISA (Agência Nacional de Vigilância Sanitária) regulations applicable to the state of Rio de Janeiro.</w:t>
      </w:r>
    </w:p>
    <w:p>
      <w:pPr>
        <w:numPr>
          <w:ilvl w:val="0"/>
          <w:numId w:val="1001"/>
        </w:numPr>
        <w:pStyle w:val="Compact"/>
      </w:pPr>
      <w:r>
        <w:t xml:space="preserve">Review, validation, and authorization of all prescription medications and controlled substances in accordance with federal and state pharmaceutical legislation.</w:t>
      </w:r>
    </w:p>
    <w:p>
      <w:pPr>
        <w:numPr>
          <w:ilvl w:val="0"/>
          <w:numId w:val="1001"/>
        </w:numPr>
        <w:pStyle w:val="Compact"/>
      </w:pPr>
      <w:r>
        <w:t xml:space="preserve">Development and implementation of pharmacovigilance protocols and adverse drug reaction reporting systems.</w:t>
      </w:r>
    </w:p>
    <w:p>
      <w:pPr>
        <w:numPr>
          <w:ilvl w:val="0"/>
          <w:numId w:val="1001"/>
        </w:numPr>
        <w:pStyle w:val="Compact"/>
      </w:pPr>
      <w:r>
        <w:t xml:space="preserve">Consultation and clinical support to patients regarding medication therapy, dosage adjustments, and drug interaction assessments.</w:t>
      </w:r>
    </w:p>
    <w:p>
      <w:pPr>
        <w:numPr>
          <w:ilvl w:val="0"/>
          <w:numId w:val="1001"/>
        </w:numPr>
        <w:pStyle w:val="Compact"/>
      </w:pPr>
      <w:r>
        <w:t xml:space="preserve">Management of the pharmaceutical inventory, including procurement, storage conditions monitoring, and expiration tracking.</w:t>
      </w:r>
    </w:p>
    <w:p>
      <w:pPr>
        <w:numPr>
          <w:ilvl w:val="0"/>
          <w:numId w:val="1001"/>
        </w:numPr>
        <w:pStyle w:val="Compact"/>
      </w:pPr>
      <w:r>
        <w:t xml:space="preserve">Preparation of technical reports, regulatory documentation, and compliance audits as required by the CRF-RJ and municipal health authorities in Rio de Janeiro.</w:t>
      </w:r>
    </w:p>
    <w:p>
      <w:pPr>
        <w:numPr>
          <w:ilvl w:val="0"/>
          <w:numId w:val="1001"/>
        </w:numPr>
        <w:pStyle w:val="Compact"/>
      </w:pPr>
      <w:r>
        <w:t xml:space="preserve">Training and mentoring of pharmacy technicians and support staff on best practices in pharmaceutical care.</w:t>
      </w:r>
    </w:p>
    <w:p>
      <w:pPr>
        <w:numPr>
          <w:ilvl w:val="0"/>
          <w:numId w:val="1001"/>
        </w:numPr>
        <w:pStyle w:val="Compact"/>
      </w:pPr>
      <w:r>
        <w:t xml:space="preserve">Participation in interdisciplinary healthcare team meetings and community health outreach programs within the Rio de Janeiro metropolitan region.</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(BRL)</w:t>
            </w:r>
          </w:p>
        </w:tc>
      </w:tr>
      <w:tr>
        <w:tc>
          <w:tcPr/>
          <w:p>
            <w:pPr>
              <w:pStyle w:val="Compact"/>
              <w:jc w:val="left"/>
            </w:pPr>
            <w:r>
              <w:t xml:space="preserve">4.1</w:t>
            </w:r>
          </w:p>
        </w:tc>
        <w:tc>
          <w:tcPr/>
          <w:p>
            <w:pPr>
              <w:pStyle w:val="Compact"/>
              <w:jc w:val="left"/>
            </w:pPr>
            <w:r>
              <w:t xml:space="preserve">Monthly Professional Fee – Pharmacist (Full-time, 44h/week)</w:t>
            </w:r>
          </w:p>
        </w:tc>
        <w:tc>
          <w:tcPr/>
          <w:p>
            <w:pPr>
              <w:pStyle w:val="Compact"/>
              <w:jc w:val="left"/>
            </w:pPr>
            <w:r>
              <w:t xml:space="preserve">Monthly</w:t>
            </w:r>
          </w:p>
        </w:tc>
        <w:tc>
          <w:tcPr/>
          <w:p>
            <w:pPr>
              <w:pStyle w:val="Compact"/>
              <w:jc w:val="left"/>
            </w:pPr>
            <w:r>
              <w:t xml:space="preserve">R$ 12,500.00</w:t>
            </w:r>
          </w:p>
        </w:tc>
      </w:tr>
      <w:tr>
        <w:tc>
          <w:tcPr/>
          <w:p>
            <w:pPr>
              <w:pStyle w:val="Compact"/>
              <w:jc w:val="left"/>
            </w:pPr>
            <w:r>
              <w:t xml:space="preserve">4.2</w:t>
            </w:r>
          </w:p>
        </w:tc>
        <w:tc>
          <w:tcPr/>
          <w:p>
            <w:pPr>
              <w:pStyle w:val="Compact"/>
              <w:jc w:val="left"/>
            </w:pPr>
            <w:r>
              <w:t xml:space="preserve">CRF-RJ Registration and Annual Renewal Fee</w:t>
            </w:r>
          </w:p>
        </w:tc>
        <w:tc>
          <w:tcPr/>
          <w:p>
            <w:pPr>
              <w:pStyle w:val="Compact"/>
              <w:jc w:val="left"/>
            </w:pPr>
            <w:r>
              <w:t xml:space="preserve">Annual</w:t>
            </w:r>
          </w:p>
        </w:tc>
        <w:tc>
          <w:tcPr/>
          <w:p>
            <w:pPr>
              <w:pStyle w:val="Compact"/>
              <w:jc w:val="left"/>
            </w:pPr>
            <w:r>
              <w:t xml:space="preserve">R$ 1,850.00</w:t>
            </w:r>
          </w:p>
        </w:tc>
      </w:tr>
      <w:tr>
        <w:tc>
          <w:tcPr/>
          <w:p>
            <w:pPr>
              <w:pStyle w:val="Compact"/>
              <w:jc w:val="left"/>
            </w:pPr>
            <w:r>
              <w:t xml:space="preserve">4.3</w:t>
            </w:r>
          </w:p>
        </w:tc>
        <w:tc>
          <w:tcPr/>
          <w:p>
            <w:pPr>
              <w:pStyle w:val="Compact"/>
              <w:jc w:val="left"/>
            </w:pPr>
            <w:r>
              <w:t xml:space="preserve">Professional Liability Insurance (Seguro de Responsabilidade Civil)</w:t>
            </w:r>
          </w:p>
        </w:tc>
        <w:tc>
          <w:tcPr/>
          <w:p>
            <w:pPr>
              <w:pStyle w:val="Compact"/>
              <w:jc w:val="left"/>
            </w:pPr>
            <w:r>
              <w:t xml:space="preserve">Annual</w:t>
            </w:r>
          </w:p>
        </w:tc>
        <w:tc>
          <w:tcPr/>
          <w:p>
            <w:pPr>
              <w:pStyle w:val="Compact"/>
              <w:jc w:val="left"/>
            </w:pPr>
            <w:r>
              <w:t xml:space="preserve">R$ 4,200.00</w:t>
            </w:r>
          </w:p>
        </w:tc>
      </w:tr>
      <w:tr>
        <w:tc>
          <w:tcPr/>
          <w:p>
            <w:pPr>
              <w:pStyle w:val="Compact"/>
              <w:jc w:val="left"/>
            </w:pPr>
            <w:r>
              <w:t xml:space="preserve">4.4</w:t>
            </w:r>
          </w:p>
        </w:tc>
        <w:tc>
          <w:tcPr/>
          <w:p>
            <w:pPr>
              <w:pStyle w:val="Compact"/>
              <w:jc w:val="left"/>
            </w:pPr>
            <w:r>
              <w:t xml:space="preserve">Regulatory Compliance and ANVISA Filing Fees</w:t>
            </w:r>
          </w:p>
        </w:tc>
        <w:tc>
          <w:tcPr/>
          <w:p>
            <w:pPr>
              <w:pStyle w:val="Compact"/>
              <w:jc w:val="left"/>
            </w:pPr>
            <w:r>
              <w:t xml:space="preserve">Annual</w:t>
            </w:r>
          </w:p>
        </w:tc>
        <w:tc>
          <w:tcPr/>
          <w:p>
            <w:pPr>
              <w:pStyle w:val="Compact"/>
              <w:jc w:val="left"/>
            </w:pPr>
            <w:r>
              <w:t xml:space="preserve">R$ 2,300.00</w:t>
            </w:r>
          </w:p>
        </w:tc>
      </w:tr>
      <w:tr>
        <w:tc>
          <w:tcPr/>
          <w:p>
            <w:pPr>
              <w:pStyle w:val="Compact"/>
              <w:jc w:val="left"/>
            </w:pPr>
            <w:r>
              <w:t xml:space="preserve">4.5</w:t>
            </w:r>
          </w:p>
        </w:tc>
        <w:tc>
          <w:tcPr/>
          <w:p>
            <w:pPr>
              <w:pStyle w:val="Compact"/>
              <w:jc w:val="left"/>
            </w:pPr>
            <w:r>
              <w:t xml:space="preserve">Continuing Education and Professional Development (CFF Requirements)</w:t>
            </w:r>
          </w:p>
        </w:tc>
        <w:tc>
          <w:tcPr/>
          <w:p>
            <w:pPr>
              <w:pStyle w:val="Compact"/>
              <w:jc w:val="left"/>
            </w:pPr>
            <w:r>
              <w:t xml:space="preserve">Annual</w:t>
            </w:r>
          </w:p>
        </w:tc>
        <w:tc>
          <w:tcPr/>
          <w:p>
            <w:pPr>
              <w:pStyle w:val="Compact"/>
              <w:jc w:val="left"/>
            </w:pPr>
            <w:r>
              <w:t xml:space="preserve">R$ 3,500.00</w:t>
            </w:r>
          </w:p>
        </w:tc>
      </w:tr>
      <w:tr>
        <w:tc>
          <w:tcPr/>
          <w:p>
            <w:pPr>
              <w:pStyle w:val="Compact"/>
              <w:jc w:val="left"/>
            </w:pPr>
            <w:r>
              <w:t xml:space="preserve">4.6</w:t>
            </w:r>
          </w:p>
        </w:tc>
        <w:tc>
          <w:tcPr/>
          <w:p>
            <w:pPr>
              <w:pStyle w:val="Compact"/>
              <w:jc w:val="left"/>
            </w:pPr>
            <w:r>
              <w:t xml:space="preserve">Specialized Software License (Pharmacy Management System – Rio de Janeiro compliant)</w:t>
            </w:r>
          </w:p>
        </w:tc>
        <w:tc>
          <w:tcPr/>
          <w:p>
            <w:pPr>
              <w:pStyle w:val="Compact"/>
              <w:jc w:val="left"/>
            </w:pPr>
            <w:r>
              <w:t xml:space="preserve">Monthly</w:t>
            </w:r>
          </w:p>
        </w:tc>
        <w:tc>
          <w:tcPr/>
          <w:p>
            <w:pPr>
              <w:pStyle w:val="Compact"/>
              <w:jc w:val="left"/>
            </w:pPr>
            <w:r>
              <w:t xml:space="preserve">R$ 890.00</w:t>
            </w:r>
          </w:p>
        </w:tc>
      </w:tr>
      <w:tr>
        <w:tc>
          <w:tcPr/>
          <w:p>
            <w:pPr>
              <w:pStyle w:val="Compact"/>
              <w:jc w:val="left"/>
            </w:pPr>
            <w:r>
              <w:t xml:space="preserve">4.7</w:t>
            </w:r>
          </w:p>
        </w:tc>
        <w:tc>
          <w:tcPr/>
          <w:p>
            <w:pPr>
              <w:pStyle w:val="Compact"/>
              <w:jc w:val="left"/>
            </w:pPr>
            <w:r>
              <w:t xml:space="preserve">Transportation and Local Travel Allowance (Rio de Janeiro Metropolitan Area)</w:t>
            </w:r>
          </w:p>
        </w:tc>
        <w:tc>
          <w:tcPr/>
          <w:p>
            <w:pPr>
              <w:pStyle w:val="Compact"/>
              <w:jc w:val="left"/>
            </w:pPr>
            <w:r>
              <w:t xml:space="preserve">Monthly</w:t>
            </w:r>
          </w:p>
        </w:tc>
        <w:tc>
          <w:tcPr/>
          <w:p>
            <w:pPr>
              <w:pStyle w:val="Compact"/>
              <w:jc w:val="left"/>
            </w:pPr>
            <w:r>
              <w:t xml:space="preserve">R$ 1,200.00</w:t>
            </w:r>
          </w:p>
        </w:tc>
      </w:tr>
      <w:tr>
        <w:tc>
          <w:tcPr/>
          <w:p>
            <w:pPr>
              <w:pStyle w:val="Compact"/>
              <w:jc w:val="left"/>
            </w:pPr>
            <w:r>
              <w:t xml:space="preserve">4.8</w:t>
            </w:r>
          </w:p>
        </w:tc>
        <w:tc>
          <w:tcPr/>
          <w:p>
            <w:pPr>
              <w:pStyle w:val="Compact"/>
              <w:jc w:val="left"/>
            </w:pPr>
            <w:r>
              <w:t xml:space="preserve">Technical Consultation and Emergency Call-out (up to 4 hours/month)</w:t>
            </w:r>
          </w:p>
        </w:tc>
        <w:tc>
          <w:tcPr/>
          <w:p>
            <w:pPr>
              <w:pStyle w:val="Compact"/>
              <w:jc w:val="left"/>
            </w:pPr>
            <w:r>
              <w:t xml:space="preserve">Monthly</w:t>
            </w:r>
          </w:p>
        </w:tc>
        <w:tc>
          <w:tcPr/>
          <w:p>
            <w:pPr>
              <w:pStyle w:val="Compact"/>
              <w:jc w:val="left"/>
            </w:pPr>
            <w:r>
              <w:t xml:space="preserve">R$ 1,500.00</w:t>
            </w:r>
          </w:p>
        </w:tc>
      </w:tr>
      <w:tr>
        <w:tc>
          <w:tcPr/>
          <w:p>
            <w:pPr>
              <w:pStyle w:val="Compact"/>
              <w:jc w:val="left"/>
            </w:pPr>
            <w:r>
              <w:t xml:space="preserve">4.9</w:t>
            </w:r>
          </w:p>
        </w:tc>
        <w:tc>
          <w:tcPr/>
          <w:p>
            <w:pPr>
              <w:pStyle w:val="Compact"/>
              <w:jc w:val="left"/>
            </w:pPr>
            <w:r>
              <w:t xml:space="preserve">Administrative and Coordination Overhead</w:t>
            </w:r>
          </w:p>
        </w:tc>
        <w:tc>
          <w:tcPr/>
          <w:p>
            <w:pPr>
              <w:pStyle w:val="Compact"/>
              <w:jc w:val="left"/>
            </w:pPr>
            <w:r>
              <w:t xml:space="preserve">Monthly</w:t>
            </w:r>
          </w:p>
        </w:tc>
        <w:tc>
          <w:tcPr/>
          <w:p>
            <w:pPr>
              <w:pStyle w:val="Compact"/>
              <w:jc w:val="left"/>
            </w:pPr>
            <w:r>
              <w:t xml:space="preserve">R$ 2,100.00</w:t>
            </w:r>
          </w:p>
        </w:tc>
      </w:tr>
      <w:tr>
        <w:tc>
          <w:tcPr>
            <w:gridSpan w:val="3"/>
          </w:tcPr>
          <w:p>
            <w:pPr>
              <w:pStyle w:val="Compact"/>
              <w:jc w:val="left"/>
            </w:pPr>
            <w:r>
              <w:t xml:space="preserve">TOTAL ESTIMATED ANNUAL COST</w:t>
            </w:r>
          </w:p>
        </w:tc>
        <w:tc>
          <w:tcPr/>
          <w:p>
            <w:pPr>
              <w:pStyle w:val="Compact"/>
              <w:jc w:val="left"/>
            </w:pPr>
            <w:r>
              <w:t xml:space="preserve">R$ 204,440.00</w:t>
            </w:r>
          </w:p>
        </w:tc>
      </w:tr>
      <w:tr>
        <w:tc>
          <w:tcPr>
            <w:gridSpan w:val="3"/>
          </w:tcPr>
          <w:p>
            <w:pPr>
              <w:pStyle w:val="Compact"/>
              <w:jc w:val="left"/>
            </w:pPr>
            <w:r>
              <w:t xml:space="preserve">TOTAL ESTIMATED MONTHLY COST (Averaged)</w:t>
            </w:r>
          </w:p>
        </w:tc>
        <w:tc>
          <w:tcPr/>
          <w:p>
            <w:pPr>
              <w:pStyle w:val="Compact"/>
              <w:jc w:val="left"/>
            </w:pPr>
            <w:r>
              <w:t xml:space="preserve">R$ 17,036.67</w:t>
            </w:r>
          </w:p>
        </w:tc>
      </w:tr>
    </w:tbl>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a period of thirty (30) calendar days from the date of issuance. After this period, all prices are subject to revision based on market conditions in Brazil, Rio de Janeiro.</w:t>
      </w:r>
    </w:p>
    <w:p>
      <w:pPr>
        <w:numPr>
          <w:ilvl w:val="0"/>
          <w:numId w:val="1002"/>
        </w:numPr>
        <w:pStyle w:val="Compact"/>
      </w:pPr>
      <w:r>
        <w:t xml:space="preserve">All amounts are quoted in Brazilian Reais (BRL) and are inclusive of applicable ISS (Imposto Sobre Serviços) municipal tax for the city of Rio de Janeiro. Federal income tax (IR) and social security contributions (INSS) are calculated separately in accordance with Brazilian labor law.</w:t>
      </w:r>
    </w:p>
    <w:p>
      <w:pPr>
        <w:numPr>
          <w:ilvl w:val="0"/>
          <w:numId w:val="1002"/>
        </w:numPr>
        <w:pStyle w:val="Compact"/>
      </w:pPr>
      <w:r>
        <w:t xml:space="preserve">The Pharmacist engaged under this estimate must hold a valid registration with the Conselho Regional de Farmácia do Estado do Rio de Janeiro (CRF-RJ) and a recognized degree in Pharmacy (Bacharelado em Farmácia) from an institution accredited by the Ministry of Education (MEC) of Brazil.</w:t>
      </w:r>
    </w:p>
    <w:p>
      <w:pPr>
        <w:numPr>
          <w:ilvl w:val="0"/>
          <w:numId w:val="1002"/>
        </w:numPr>
        <w:pStyle w:val="Compact"/>
      </w:pPr>
      <w:r>
        <w:t xml:space="preserve">Payment terms: Net 15 days from the date of invoice issuance. Invoices shall be issued monthly on the first business day of each month.</w:t>
      </w:r>
    </w:p>
    <w:p>
      <w:pPr>
        <w:numPr>
          <w:ilvl w:val="0"/>
          <w:numId w:val="1002"/>
        </w:numPr>
        <w:pStyle w:val="Compact"/>
      </w:pPr>
      <w:r>
        <w:t xml:space="preserve">Early termination of the engagement requires a written notice of sixty (60) days. In the event of early termination, a pro-rata adjustment to the Quotation Estimate totals will be applied.</w:t>
      </w:r>
    </w:p>
    <w:p>
      <w:pPr>
        <w:numPr>
          <w:ilvl w:val="0"/>
          <w:numId w:val="1002"/>
        </w:numPr>
        <w:pStyle w:val="Compact"/>
      </w:pPr>
      <w:r>
        <w:t xml:space="preserve">The service provider reserves the right to substitute the assigned Pharmacist with a professional of equivalent or superior qualifications, subject to prior written approval by the client.</w:t>
      </w:r>
    </w:p>
    <w:p>
      <w:pPr>
        <w:numPr>
          <w:ilvl w:val="0"/>
          <w:numId w:val="1002"/>
        </w:numPr>
        <w:pStyle w:val="Compact"/>
      </w:pPr>
      <w:r>
        <w:t xml:space="preserve">All services shall be performed in strict compliance with the Brazilian General Data Protection Law (LGPD – Lei Geral de Proteção de Dados) and applicable pharmaceutical regulations in force in the state of Rio de Janeiro.</w:t>
      </w:r>
    </w:p>
    <w:p>
      <w:pPr>
        <w:numPr>
          <w:ilvl w:val="0"/>
          <w:numId w:val="1002"/>
        </w:numPr>
        <w:pStyle w:val="Compact"/>
      </w:pPr>
      <w:r>
        <w:t xml:space="preserve">This Quotation Estimate does not constitute a binding contract until formally accepted in writing by both parties and countersigned by authorized representatives.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conditions, and financial obligations outlined in this Quotation Estimate for Pharmacist services in Brazil, Rio de Janeiro. This document serves as the formal basis for the subsequent execution of a definitive service contract.</w:t>
      </w:r>
    </w:p>
    <w:p>
      <w:pPr>
        <w:pStyle w:val="BodyText"/>
      </w:pPr>
      <w:r>
        <w:rPr>
          <w:bCs/>
          <w:b/>
        </w:rPr>
        <w:t xml:space="preserve">Provider Representative</w:t>
      </w:r>
      <w:r>
        <w:br/>
      </w:r>
      <w:r>
        <w:t xml:space="preserve">PharmaConsult RJ Serviços Farmacêuticos Ltda.</w:t>
      </w:r>
      <w:r>
        <w:br/>
      </w:r>
      <w:r>
        <w:t xml:space="preserve">Name: ___________________________</w:t>
      </w:r>
      <w:r>
        <w:br/>
      </w:r>
      <w:r>
        <w:t xml:space="preserve">CPF: ___________________________</w:t>
      </w:r>
      <w:r>
        <w:br/>
      </w:r>
      <w:r>
        <w:t xml:space="preserve">Date: ___________________________</w:t>
      </w:r>
    </w:p>
    <w:p>
      <w:pPr>
        <w:pStyle w:val="BodyText"/>
      </w:pPr>
      <w:r>
        <w:rPr>
          <w:bCs/>
          <w:b/>
        </w:rPr>
        <w:t xml:space="preserve">Client Representative</w:t>
      </w:r>
      <w:r>
        <w:br/>
      </w:r>
      <w:r>
        <w:t xml:space="preserve">[Client Legal Name]</w:t>
      </w:r>
      <w:r>
        <w:br/>
      </w:r>
      <w:r>
        <w:t xml:space="preserve">Name: ___________________________</w:t>
      </w:r>
      <w:r>
        <w:br/>
      </w:r>
      <w:r>
        <w:t xml:space="preserve">CNPJ/CPF: _______________________</w:t>
      </w:r>
      <w:r>
        <w:br/>
      </w:r>
      <w:r>
        <w:t xml:space="preserve">Date: ___________________________</w:t>
      </w:r>
    </w:p>
    <w:p>
      <w:pPr>
        <w:pStyle w:val="BodyText"/>
      </w:pPr>
      <w:r>
        <w:t xml:space="preserve">This Quotation Estimate was prepared by PharmaConsult RJ Serviços Farmacêuticos Ltda. for professional Pharmacist services in Brazil, Rio de Janeiro.</w:t>
      </w:r>
      <w:r>
        <w:br/>
      </w:r>
      <w:r>
        <w:t xml:space="preserve">Document Reference: QE-RJ-2025-0472 | Page 1 of 1 | Confidential – For Client Use Only</w:t>
      </w:r>
      <w:r>
        <w:br/>
      </w:r>
      <w:r>
        <w:t xml:space="preserve">© 2025 PharmaConsult RJ.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Brazil Rio de Janeiro</dc:title>
  <dc:creator/>
  <dc:language>en</dc:language>
  <cp:keywords/>
  <dcterms:created xsi:type="dcterms:W3CDTF">2026-10-10T05:11:58Z</dcterms:created>
  <dcterms:modified xsi:type="dcterms:W3CDTF">2026-10-10T05:11:58Z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