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t xml:space="preserve">Professional Pharmacist Services — Colombia, Bogotá D.C.</w:t>
      </w:r>
    </w:p>
    <w:p>
      <w:pPr>
        <w:pStyle w:val="BodyText"/>
      </w:pPr>
      <w:r>
        <w:t xml:space="preserve">Document Reference: QE-PHARM-BOG-2025-0047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QE-PHARM-BOG-2025-0047</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COP (Colombian Peso) / USD</w:t>
            </w:r>
          </w:p>
        </w:tc>
      </w:tr>
      <w:tr>
        <w:tc>
          <w:tcPr/>
          <w:p>
            <w:pPr>
              <w:pStyle w:val="Compact"/>
              <w:jc w:val="left"/>
            </w:pPr>
            <w:r>
              <w:t xml:space="preserve">Prepared By</w:t>
            </w:r>
          </w:p>
        </w:tc>
        <w:tc>
          <w:tcPr/>
          <w:p>
            <w:pPr>
              <w:pStyle w:val="Compact"/>
              <w:jc w:val="left"/>
            </w:pPr>
            <w:r>
              <w:t xml:space="preserve">MediStaff Colombia S.A.S. — Bogotá D.C., Colombia</w:t>
            </w:r>
          </w:p>
        </w:tc>
        <w:tc>
          <w:tcPr/>
          <w:p>
            <w:pPr>
              <w:pStyle w:val="Compact"/>
              <w:jc w:val="left"/>
            </w:pPr>
            <w:r>
              <w:t xml:space="preserve">Contact</w:t>
            </w:r>
          </w:p>
        </w:tc>
        <w:tc>
          <w:tcPr/>
          <w:p>
            <w:pPr>
              <w:pStyle w:val="Compact"/>
              <w:jc w:val="left"/>
            </w:pPr>
            <w:r>
              <w:t xml:space="preserve">quotation@medistaffcolombia.co</w:t>
            </w:r>
          </w:p>
        </w:tc>
      </w:tr>
      <w:tr>
        <w:tc>
          <w:tcPr/>
          <w:p>
            <w:pPr>
              <w:pStyle w:val="Compact"/>
              <w:jc w:val="left"/>
            </w:pPr>
            <w:r>
              <w:t xml:space="preserve">Client / Recipient</w:t>
            </w:r>
          </w:p>
        </w:tc>
        <w:tc>
          <w:tcPr/>
          <w:p>
            <w:pPr>
              <w:pStyle w:val="Compact"/>
              <w:jc w:val="left"/>
            </w:pPr>
            <w:r>
              <w:t xml:space="preserve">Clínica San Rafael Ltda. — Calle 45 #12-34, Bogotá D.C., Colombia</w:t>
            </w:r>
          </w:p>
        </w:tc>
        <w:tc>
          <w:tcPr/>
          <w:p>
            <w:pPr>
              <w:pStyle w:val="Compact"/>
              <w:jc w:val="left"/>
            </w:pPr>
            <w:r>
              <w:t xml:space="preserve">Client NIT</w:t>
            </w:r>
          </w:p>
        </w:tc>
        <w:tc>
          <w:tcPr/>
          <w:p>
            <w:pPr>
              <w:pStyle w:val="Compact"/>
              <w:jc w:val="left"/>
            </w:pPr>
            <w:r>
              <w:t xml:space="preserve">900.123.456-7</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MediStaff Colombia S.A.S., a licensed healthcare staffing firm registered in Bogotá, Colombia, to provide Clínica San Rafael Ltda. with a comprehensive and transparent cost breakdown for the recruitment, placement, and ongoing professional support of a licensed Pharmacist in the city of Bogotá, Colombia. This document serves as a formal Quotation Estimate and does not constitute a binding contract until both parties execute the definitive service agreement. All pricing reflected in this Quotation Estimate is based on current market rates for qualified Pharmacist professionals operating within the regulatory framework of Colombia's Superintendencia Nacional de Salud and the Colegio de Farmacéuticos de Bogotá.</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Recruitment and screening of a licensed Pharmacist (Título de Farmacéutico) with minimum 5 years of clinical experience in Bogotá, Colombia</w:t>
            </w:r>
          </w:p>
        </w:tc>
        <w:tc>
          <w:tcPr/>
          <w:p>
            <w:pPr>
              <w:pStyle w:val="Compact"/>
              <w:jc w:val="left"/>
            </w:pPr>
            <w:r>
              <w:t xml:space="preserve">1 position</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t xml:space="preserve">Verification of Pharmacist credentials, professional license (Registro Profesional), and compliance with Colombian health regulations (Resolución 3516 de 2009)</w:t>
            </w:r>
          </w:p>
        </w:tc>
        <w:tc>
          <w:tcPr/>
          <w:p>
            <w:pPr>
              <w:pStyle w:val="Compact"/>
              <w:jc w:val="left"/>
            </w:pPr>
            <w:r>
              <w:t xml:space="preserve">1 position</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3</w:t>
            </w:r>
          </w:p>
        </w:tc>
        <w:tc>
          <w:tcPr/>
          <w:p>
            <w:pPr>
              <w:pStyle w:val="Compact"/>
              <w:jc w:val="left"/>
            </w:pPr>
            <w:r>
              <w:t xml:space="preserve">Monthly professional fee for the Pharmacist (full-time, 44-hour workweek) including salary, statutory benefits, and social security contributions (Salud, Pensión, ARL) as mandated by Colombian labor law</w:t>
            </w:r>
          </w:p>
        </w:tc>
        <w:tc>
          <w:tcPr/>
          <w:p>
            <w:pPr>
              <w:pStyle w:val="Compact"/>
              <w:jc w:val="left"/>
            </w:pPr>
            <w:r>
              <w:t xml:space="preserve">12 months</w:t>
            </w:r>
          </w:p>
        </w:tc>
        <w:tc>
          <w:tcPr/>
          <w:p>
            <w:pPr>
              <w:pStyle w:val="Compact"/>
              <w:jc w:val="left"/>
            </w:pPr>
            <w:r>
              <w:t xml:space="preserve">4,200,000</w:t>
            </w:r>
          </w:p>
        </w:tc>
        <w:tc>
          <w:tcPr/>
          <w:p>
            <w:pPr>
              <w:pStyle w:val="Compact"/>
              <w:jc w:val="left"/>
            </w:pPr>
            <w:r>
              <w:t xml:space="preserve">50,400,000</w:t>
            </w:r>
          </w:p>
        </w:tc>
      </w:tr>
      <w:tr>
        <w:tc>
          <w:tcPr/>
          <w:p>
            <w:pPr>
              <w:pStyle w:val="Compact"/>
              <w:jc w:val="left"/>
            </w:pPr>
            <w:r>
              <w:t xml:space="preserve">4</w:t>
            </w:r>
          </w:p>
        </w:tc>
        <w:tc>
          <w:tcPr/>
          <w:p>
            <w:pPr>
              <w:pStyle w:val="Compact"/>
              <w:jc w:val="left"/>
            </w:pPr>
            <w:r>
              <w:t xml:space="preserve">Pharmacist onboarding, orientation to Bogotá facility protocols, and integration into the clinical pharmacy team</w:t>
            </w:r>
          </w:p>
        </w:tc>
        <w:tc>
          <w:tcPr/>
          <w:p>
            <w:pPr>
              <w:pStyle w:val="Compact"/>
              <w:jc w:val="left"/>
            </w:pPr>
            <w:r>
              <w:t xml:space="preserve">1 position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Continuing professional development and mandatory training for the Pharmacist (minimum 40 hours/year per Colombian regulatory requirements)</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6</w:t>
            </w:r>
          </w:p>
        </w:tc>
        <w:tc>
          <w:tcPr/>
          <w:p>
            <w:pPr>
              <w:pStyle w:val="Compact"/>
              <w:jc w:val="left"/>
            </w:pPr>
            <w:r>
              <w:t xml:space="preserve">Administrative and legal support for the Pharmacist's employment contract, including compliance with Código Sustantivo del Trabajo (Colombia)</w:t>
            </w:r>
          </w:p>
        </w:tc>
        <w:tc>
          <w:tcPr/>
          <w:p>
            <w:pPr>
              <w:pStyle w:val="Compact"/>
              <w:jc w:val="left"/>
            </w:pPr>
            <w:r>
              <w:t xml:space="preserve">1 position</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7</w:t>
            </w:r>
          </w:p>
        </w:tc>
        <w:tc>
          <w:tcPr/>
          <w:p>
            <w:pPr>
              <w:pStyle w:val="Compact"/>
              <w:jc w:val="left"/>
            </w:pPr>
            <w:r>
              <w:t xml:space="preserve">Quarterly performance evaluation and supervision of the Pharmacist by a senior clinical pharmacist consultant based in Bogotá</w:t>
            </w:r>
          </w:p>
        </w:tc>
        <w:tc>
          <w:tcPr/>
          <w:p>
            <w:pPr>
              <w:pStyle w:val="Compact"/>
              <w:jc w:val="left"/>
            </w:pPr>
            <w:r>
              <w:t xml:space="preserve">4 quarters</w:t>
            </w:r>
          </w:p>
        </w:tc>
        <w:tc>
          <w:tcPr/>
          <w:p>
            <w:pPr>
              <w:pStyle w:val="Compact"/>
              <w:jc w:val="left"/>
            </w:pPr>
            <w:r>
              <w:t xml:space="preserve">600,000</w:t>
            </w:r>
          </w:p>
        </w:tc>
        <w:tc>
          <w:tcPr/>
          <w:p>
            <w:pPr>
              <w:pStyle w:val="Compact"/>
              <w:jc w:val="left"/>
            </w:pPr>
            <w:r>
              <w:t xml:space="preserve">2,400,000</w:t>
            </w:r>
          </w:p>
        </w:tc>
      </w:tr>
      <w:tr>
        <w:tc>
          <w:tcPr/>
          <w:p>
            <w:pPr>
              <w:pStyle w:val="Compact"/>
              <w:jc w:val="left"/>
            </w:pPr>
            <w:r>
              <w:t xml:space="preserve">8</w:t>
            </w:r>
          </w:p>
        </w:tc>
        <w:tc>
          <w:tcPr/>
          <w:p>
            <w:pPr>
              <w:pStyle w:val="Compact"/>
              <w:jc w:val="left"/>
            </w:pPr>
            <w:r>
              <w:t xml:space="preserve">Replacement guarantee: In the event the Pharmacist resigns or is terminated within the first 6 months, a replacement Pharmacist will be sourced at no additional recruitment cost</w:t>
            </w:r>
          </w:p>
        </w:tc>
        <w:tc>
          <w:tcPr/>
          <w:p>
            <w:pPr>
              <w:pStyle w:val="Compact"/>
              <w:jc w:val="left"/>
            </w:pPr>
            <w:r>
              <w:t xml:space="preserve">1 guarantee</w:t>
            </w:r>
          </w:p>
        </w:tc>
        <w:tc>
          <w:tcPr/>
          <w:p>
            <w:pPr>
              <w:pStyle w:val="Compact"/>
              <w:jc w:val="left"/>
            </w:pPr>
            <w:r>
              <w:t xml:space="preserve">0</w:t>
            </w:r>
          </w:p>
        </w:tc>
        <w:tc>
          <w:tcPr/>
          <w:p>
            <w:pPr>
              <w:pStyle w:val="Compact"/>
              <w:jc w:val="left"/>
            </w:pPr>
            <w:r>
              <w:t xml:space="preserve">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1–8)</w:t>
            </w:r>
          </w:p>
        </w:tc>
        <w:tc>
          <w:tcPr/>
          <w:p>
            <w:pPr>
              <w:pStyle w:val="Compact"/>
              <w:jc w:val="left"/>
            </w:pPr>
            <w:r>
              <w:t xml:space="preserve">63,000,000</w:t>
            </w:r>
          </w:p>
        </w:tc>
      </w:tr>
      <w:tr>
        <w:tc>
          <w:tcPr/>
          <w:p>
            <w:pPr>
              <w:pStyle w:val="Compact"/>
              <w:jc w:val="left"/>
            </w:pPr>
            <w:r>
              <w:t xml:space="preserve">IVA (19% Colombian Value Added Tax)</w:t>
            </w:r>
          </w:p>
        </w:tc>
        <w:tc>
          <w:tcPr/>
          <w:p>
            <w:pPr>
              <w:pStyle w:val="Compact"/>
              <w:jc w:val="left"/>
            </w:pPr>
            <w:r>
              <w:t xml:space="preserve">11,970,000</w:t>
            </w:r>
          </w:p>
        </w:tc>
      </w:tr>
      <w:tr>
        <w:tc>
          <w:tcPr/>
          <w:p>
            <w:pPr>
              <w:pStyle w:val="Compact"/>
              <w:jc w:val="left"/>
            </w:pPr>
            <w:r>
              <w:t xml:space="preserve">Grand Total (Quotation Estimate)</w:t>
            </w:r>
          </w:p>
        </w:tc>
        <w:tc>
          <w:tcPr/>
          <w:p>
            <w:pPr>
              <w:pStyle w:val="Compact"/>
              <w:jc w:val="left"/>
            </w:pPr>
            <w:r>
              <w:t xml:space="preserve">74,970,000 COP</w:t>
            </w:r>
          </w:p>
        </w:tc>
      </w:tr>
      <w:tr>
        <w:tc>
          <w:tcPr/>
          <w:p>
            <w:pPr>
              <w:pStyle w:val="Compact"/>
              <w:jc w:val="left"/>
            </w:pPr>
            <w:r>
              <w:t xml:space="preserve">Approximate USD Equivalent</w:t>
            </w:r>
          </w:p>
        </w:tc>
        <w:tc>
          <w:tcPr/>
          <w:p>
            <w:pPr>
              <w:pStyle w:val="Compact"/>
              <w:jc w:val="left"/>
            </w:pPr>
            <w:r>
              <w:t xml:space="preserve">~USD 18,742.50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is valid for thirty (30) calendar days from the date of issue. After this period, all prices, particularly those related to the Pharmacist's monthly compensation, may be subject to revision based on changes in Colombia's minimum wage (Salario Mínimo Mensual) or market conditions in Bogotá.</w:t>
      </w:r>
    </w:p>
    <w:p>
      <w:pPr>
        <w:pStyle w:val="BodyText"/>
      </w:pPr>
      <w:r>
        <w:rPr>
          <w:bCs/>
          <w:b/>
        </w:rPr>
        <w:t xml:space="preserve">3.2 Payment Terms:</w:t>
      </w:r>
      <w:r>
        <w:t xml:space="preserve"> </w:t>
      </w:r>
      <w:r>
        <w:t xml:space="preserve">The recruitment and onboarding fees (Items 1, 2, 4, 6) are due within fifteen (15) business days of acceptance of this Quotation Estimate. The monthly Pharmacist professional fee (Item 3) shall be invoiced on the first business day of each month and is payable within ten (10) business days of invoice receipt. Training and supervision fees (Items 5, 7) are billed quarterly in arrears.</w:t>
      </w:r>
    </w:p>
    <w:p>
      <w:pPr>
        <w:pStyle w:val="BodyText"/>
      </w:pPr>
      <w:r>
        <w:rPr>
          <w:bCs/>
          <w:b/>
        </w:rPr>
        <w:t xml:space="preserve">3.3 Regulatory Compliance:</w:t>
      </w:r>
      <w:r>
        <w:t xml:space="preserve"> </w:t>
      </w:r>
      <w:r>
        <w:t xml:space="preserve">The Pharmacist placed under this Quotation Estimate shall hold a valid professional registration with the Colegio de Farmacéuticos de Bogotá and shall comply with all regulations issued by the Ministerio de Salud y Protección Social of Colombia. The client assumes responsibility for any facility-specific permits required for pharmacy operations in Bogotá.</w:t>
      </w:r>
    </w:p>
    <w:p>
      <w:pPr>
        <w:pStyle w:val="BodyText"/>
      </w:pPr>
      <w:r>
        <w:rPr>
          <w:bCs/>
          <w:b/>
        </w:rPr>
        <w:t xml:space="preserve">3.4 Confidentiality:</w:t>
      </w:r>
      <w:r>
        <w:t xml:space="preserve"> </w:t>
      </w:r>
      <w:r>
        <w:t xml:space="preserve">All information exchanged in connection with this Quotation Estimate, including the Pharmacist's professional records and the client's operational data, shall be treated as strictly confidential in accordance with Colombia's Ley 1581 de 2012 (Data Protection Law).</w:t>
      </w:r>
    </w:p>
    <w:p>
      <w:pPr>
        <w:pStyle w:val="BodyText"/>
      </w:pPr>
      <w:r>
        <w:rPr>
          <w:bCs/>
          <w:b/>
        </w:rPr>
        <w:t xml:space="preserve">3.5 Termination:</w:t>
      </w:r>
      <w:r>
        <w:t xml:space="preserve"> </w:t>
      </w:r>
      <w:r>
        <w:t xml:space="preserve">Either party may terminate the service agreement with thirty (30) days' written notice. In the event of early termination by the client after the Pharmacist has commenced duties, a prorated fee for the remaining notice period shall apply.</w:t>
      </w:r>
    </w:p>
    <w:p>
      <w:pPr>
        <w:pStyle w:val="BodyText"/>
      </w:pPr>
      <w:r>
        <w:rPr>
          <w:bCs/>
          <w:b/>
        </w:rPr>
        <w:t xml:space="preserve">3.6 Governing Law:</w:t>
      </w:r>
      <w:r>
        <w:t xml:space="preserve"> </w:t>
      </w:r>
      <w:r>
        <w:t xml:space="preserve">This Quotation Estimate and any resulting service agreement shall be governed by the commercial and labor laws of the Republic of Colombia. Any disputes shall be resolved in the competent courts of Bogotá D.C., Colombia.</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for Pharmacist services in Colombia, Bogotá, and agrees to the terms outlined herein. This signature does not constitute a final contract but authorizes MediStaff Colombia S.A.S. to proceed with the Pharmacist recruitment process as described.</w:t>
      </w:r>
    </w:p>
    <w:p>
      <w:pPr>
        <w:pStyle w:val="BodyText"/>
      </w:pPr>
      <w:r>
        <w:rPr>
          <w:bCs/>
          <w:b/>
        </w:rPr>
        <w:t xml:space="preserve">For MediStaff Colombia S.A.S.</w:t>
      </w:r>
      <w:r>
        <w:br/>
      </w:r>
      <w:r>
        <w:t xml:space="preserve">Name: Dra. Carolina Restrepo M.</w:t>
      </w:r>
      <w:r>
        <w:br/>
      </w:r>
      <w:r>
        <w:t xml:space="preserve">Title: Director of Clinical Pharmacy Staffing</w:t>
      </w:r>
      <w:r>
        <w:br/>
      </w:r>
      <w:r>
        <w:t xml:space="preserve">Bogotá D.C., Colombia</w:t>
      </w:r>
      <w:r>
        <w:br/>
      </w:r>
      <w:r>
        <w:t xml:space="preserve">Date: _______________</w:t>
      </w:r>
    </w:p>
    <w:p>
      <w:pPr>
        <w:pStyle w:val="BodyText"/>
      </w:pPr>
      <w:r>
        <w:rPr>
          <w:bCs/>
          <w:b/>
        </w:rPr>
        <w:t xml:space="preserve">For Clínica San Rafael Ltda. (Client)</w:t>
      </w:r>
      <w:r>
        <w:br/>
      </w:r>
      <w:r>
        <w:t xml:space="preserve">Name: _________________________</w:t>
      </w:r>
      <w:r>
        <w:br/>
      </w:r>
      <w:r>
        <w:t xml:space="preserve">Title: _________________________</w:t>
      </w:r>
      <w:r>
        <w:br/>
      </w:r>
      <w:r>
        <w:t xml:space="preserve">Bogotá D.C., Colombia</w:t>
      </w:r>
      <w:r>
        <w:br/>
      </w:r>
      <w:r>
        <w:t xml:space="preserve">Date: _______________</w:t>
      </w:r>
    </w:p>
    <w:p>
      <w:pPr>
        <w:pStyle w:val="BodyText"/>
      </w:pPr>
      <w:r>
        <w:t xml:space="preserve">MediStaff Colombia S.A.S. — NIT 901.234.567-8 — Carrera 15 #86-40, Bogotá D.C., Colombia — RUT: 901.234.567-8</w:t>
      </w:r>
    </w:p>
    <w:p>
      <w:pPr>
        <w:pStyle w:val="BodyText"/>
      </w:pPr>
      <w:r>
        <w:t xml:space="preserve">This Quotation Estimate is a commercial document. It is not a medical prescription, a pharmacy dispensing record, or a regulatory filing. All Pharmacist services described herein are subject to the professional judgment of the licensed Pharmacist and applicable Colombian health regulations.</w:t>
      </w:r>
    </w:p>
    <w:p>
      <w:pPr>
        <w:pStyle w:val="BodyText"/>
      </w:pPr>
      <w:r>
        <w:t xml:space="preserve">Page 1 of 1 — Generated: June 12, 2025</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Colombia Bogotá</dc:title>
  <dc:creator/>
  <dc:language>en</dc:language>
  <cp:keywords/>
  <dcterms:created xsi:type="dcterms:W3CDTF">2026-10-10T05:50:16Z</dcterms:created>
  <dcterms:modified xsi:type="dcterms:W3CDTF">2026-10-10T05:50:16Z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