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Pharmacist</w:t>
      </w:r>
      <w:r>
        <w:t xml:space="preserve"> </w:t>
      </w:r>
      <w:r>
        <w:t xml:space="preserve">Services</w:t>
      </w:r>
      <w:r>
        <w:t xml:space="preserve"> </w:t>
      </w:r>
      <w:r>
        <w:t xml:space="preserve">-</w:t>
      </w:r>
      <w:r>
        <w:t xml:space="preserve"> </w:t>
      </w:r>
      <w:r>
        <w:t xml:space="preserve">Germany</w:t>
      </w:r>
      <w:r>
        <w:t xml:space="preserve"> </w:t>
      </w:r>
      <w:r>
        <w:t xml:space="preserve">Berlin</w:t>
      </w:r>
    </w:p>
    <w:bookmarkStart w:id="20" w:name="quotation-estimate"/>
    <w:p>
      <w:pPr>
        <w:pStyle w:val="Heading1"/>
      </w:pPr>
      <w:r>
        <w:t xml:space="preserve">Quotation Estimate</w:t>
      </w:r>
    </w:p>
    <w:p>
      <w:pPr>
        <w:pStyle w:val="FirstParagraph"/>
      </w:pPr>
      <w:r>
        <w:t xml:space="preserve">Professional Pharmacist Services &amp; Consulting – Germany Berlin</w:t>
      </w:r>
    </w:p>
    <w:bookmarkEnd w:id="20"/>
    <w:p>
      <w:pPr>
        <w:pStyle w:val="BodyText"/>
      </w:pPr>
      <w:r>
        <w:rPr>
          <w:bCs/>
          <w:b/>
        </w:rPr>
        <w:t xml:space="preserve">ApotekConsult GmbH</w:t>
      </w:r>
      <w:r>
        <w:br/>
      </w:r>
      <w:r>
        <w:t xml:space="preserve">Friedrichstraße 123</w:t>
      </w:r>
      <w:r>
        <w:br/>
      </w:r>
      <w:r>
        <w:t xml:space="preserve">10117 Berlin, Germany</w:t>
      </w:r>
      <w:r>
        <w:br/>
      </w:r>
      <w:r>
        <w:t xml:space="preserve">Tel: +49 30 1234 5678</w:t>
      </w:r>
      <w:r>
        <w:br/>
      </w:r>
      <w:r>
        <w:t xml:space="preserve">Email: info@apotekconsult.de</w:t>
      </w:r>
      <w:r>
        <w:br/>
      </w:r>
      <w:r>
        <w:t xml:space="preserve">VAT ID: DE 123 456 789</w:t>
      </w:r>
    </w:p>
    <w:p>
      <w:pPr>
        <w:pStyle w:val="BodyText"/>
      </w:pPr>
      <w:r>
        <w:rPr>
          <w:bCs/>
          <w:b/>
        </w:rPr>
        <w:t xml:space="preserve">Prepared For:</w:t>
      </w:r>
      <w:r>
        <w:br/>
      </w:r>
      <w:r>
        <w:t xml:space="preserve">Dr. Michaela Schneider</w:t>
      </w:r>
      <w:r>
        <w:br/>
      </w:r>
      <w:r>
        <w:t xml:space="preserve">Charité – Universitätsmedizin Berlin</w:t>
      </w:r>
      <w:r>
        <w:br/>
      </w:r>
      <w:r>
        <w:t xml:space="preserve">Charitéplatz 1</w:t>
      </w:r>
      <w:r>
        <w:br/>
      </w:r>
      <w:r>
        <w:t xml:space="preserve">10117 Berlin, Germany</w:t>
      </w:r>
      <w:r>
        <w:br/>
      </w:r>
      <w:r>
        <w:t xml:space="preserve">Tel: +49 30 450 50</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QE-2025-BER-0472</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w:t>
            </w:r>
          </w:p>
        </w:tc>
        <w:tc>
          <w:tcPr/>
          <w:p>
            <w:pPr>
              <w:pStyle w:val="Compact"/>
              <w:jc w:val="left"/>
            </w:pPr>
            <w:r>
              <w:t xml:space="preserve">Service Location:</w:t>
            </w:r>
          </w:p>
        </w:tc>
        <w:tc>
          <w:tcPr/>
          <w:p>
            <w:pPr>
              <w:pStyle w:val="Compact"/>
              <w:jc w:val="left"/>
            </w:pPr>
            <w:r>
              <w:t xml:space="preserve">Berlin, Germany</w:t>
            </w:r>
          </w:p>
        </w:tc>
      </w:tr>
      <w:tr>
        <w:tc>
          <w:tcPr/>
          <w:p>
            <w:pPr>
              <w:pStyle w:val="Compact"/>
              <w:jc w:val="left"/>
            </w:pPr>
            <w:r>
              <w:t xml:space="preserve">Prepared By:</w:t>
            </w:r>
          </w:p>
        </w:tc>
        <w:tc>
          <w:tcPr/>
          <w:p>
            <w:pPr>
              <w:pStyle w:val="Compact"/>
              <w:jc w:val="left"/>
            </w:pPr>
            <w:r>
              <w:t xml:space="preserve">Dr. Thomas Weber, M.Sc. Pharmacy</w:t>
            </w:r>
          </w:p>
        </w:tc>
        <w:tc>
          <w:tcPr/>
          <w:p>
            <w:pPr>
              <w:pStyle w:val="Compact"/>
              <w:jc w:val="left"/>
            </w:pPr>
            <w:r>
              <w:t xml:space="preserve">Reference:</w:t>
            </w:r>
          </w:p>
        </w:tc>
        <w:tc>
          <w:tcPr/>
          <w:p>
            <w:pPr>
              <w:pStyle w:val="Compact"/>
              <w:jc w:val="left"/>
            </w:pPr>
            <w:r>
              <w:t xml:space="preserve">Pharmacist Deployment – Q3 2025</w:t>
            </w:r>
          </w:p>
        </w:tc>
      </w:tr>
    </w:tbl>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by ApotekConsult GmbH to provide a comprehensive and transparent cost breakdown for the engagement of a qualified</w:t>
      </w:r>
      <w:r>
        <w:t xml:space="preserve"> </w:t>
      </w:r>
      <w:r>
        <w:t xml:space="preserve">Pharmacist</w:t>
      </w:r>
      <w:r>
        <w:t xml:space="preserve"> </w:t>
      </w:r>
      <w:r>
        <w:t xml:space="preserve">to deliver pharmaceutical consulting, medication management, and clinical pharmacy services at the Charité – Universitätsmedizin Berlin facility. This document serves as a formal</w:t>
      </w:r>
      <w:r>
        <w:t xml:space="preserve"> </w:t>
      </w:r>
      <w:r>
        <w:t xml:space="preserve">Quotation Estimate</w:t>
      </w:r>
      <w:r>
        <w:t xml:space="preserve"> </w:t>
      </w:r>
      <w:r>
        <w:t xml:space="preserve">outlining all anticipated costs, deliverables, and terms associated with the provision of</w:t>
      </w:r>
      <w:r>
        <w:t xml:space="preserve"> </w:t>
      </w:r>
      <w:r>
        <w:t xml:space="preserve">Pharmacist</w:t>
      </w:r>
      <w:r>
        <w:t xml:space="preserve"> </w:t>
      </w:r>
      <w:r>
        <w:t xml:space="preserve">services within the jurisdiction of</w:t>
      </w:r>
      <w:r>
        <w:t xml:space="preserve"> </w:t>
      </w:r>
      <w:r>
        <w:t xml:space="preserve">Germany Berlin</w:t>
      </w:r>
      <w:r>
        <w:t xml:space="preserve">, in full compliance with the German Pharmacy Act (Apothekengesetz) and the regulations of the Berlin State Chamber of Pharmacists (Landesapothekerkammer Berlin).</w:t>
      </w:r>
    </w:p>
    <w:p>
      <w:pPr>
        <w:pStyle w:val="BodyText"/>
      </w:pPr>
      <w:r>
        <w:t xml:space="preserve">The</w:t>
      </w:r>
      <w:r>
        <w:t xml:space="preserve"> </w:t>
      </w:r>
      <w:r>
        <w:t xml:space="preserve">Pharmacist</w:t>
      </w:r>
      <w:r>
        <w:t xml:space="preserve"> </w:t>
      </w:r>
      <w:r>
        <w:t xml:space="preserve">engaged under this</w:t>
      </w:r>
      <w:r>
        <w:t xml:space="preserve"> </w:t>
      </w:r>
      <w:r>
        <w:t xml:space="preserve">Quotation Estimate</w:t>
      </w:r>
      <w:r>
        <w:t xml:space="preserve"> </w:t>
      </w:r>
      <w:r>
        <w:t xml:space="preserve">shall hold a valid license issued by the Berlin Health Department (Gesundheitsamt Berlin) and shall be registered with the relevant professional body in</w:t>
      </w:r>
      <w:r>
        <w:t xml:space="preserve"> </w:t>
      </w:r>
      <w:r>
        <w:t xml:space="preserve">Germany Berlin</w:t>
      </w:r>
      <w:r>
        <w:t xml:space="preserve">. All services described herein are tailored to meet the specific clinical and operational requirements of the requesting institution.</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(EUR)</w:t>
            </w:r>
          </w:p>
        </w:tc>
        <w:tc>
          <w:tcPr/>
          <w:p>
            <w:pPr>
              <w:pStyle w:val="Compact"/>
              <w:jc w:val="left"/>
            </w:pPr>
            <w:r>
              <w:t xml:space="preserve">Subtotal (EUR)</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Senior Pharmacist – Clinical Consultation &amp; Medication Review (on-site, Berlin)</w:t>
            </w:r>
          </w:p>
        </w:tc>
        <w:tc>
          <w:tcPr/>
          <w:p>
            <w:pPr>
              <w:pStyle w:val="Compact"/>
              <w:jc w:val="left"/>
            </w:pPr>
            <w:r>
              <w:t xml:space="preserve">120 hours</w:t>
            </w:r>
          </w:p>
        </w:tc>
        <w:tc>
          <w:tcPr/>
          <w:p>
            <w:pPr>
              <w:pStyle w:val="Compact"/>
              <w:jc w:val="left"/>
            </w:pPr>
            <w:r>
              <w:t xml:space="preserve">€85.00</w:t>
            </w:r>
          </w:p>
        </w:tc>
        <w:tc>
          <w:tcPr/>
          <w:p>
            <w:pPr>
              <w:pStyle w:val="Compact"/>
              <w:jc w:val="left"/>
            </w:pPr>
            <w:r>
              <w:t xml:space="preserve">€10,200.00</w:t>
            </w:r>
          </w:p>
        </w:tc>
        <w:tc>
          <w:tcPr/>
          <w:p>
            <w:pPr>
              <w:pStyle w:val="Compact"/>
              <w:jc w:val="left"/>
            </w:pPr>
            <w:r>
              <w:t xml:space="preserve">Full-time equivalent, 3 months</w:t>
            </w:r>
          </w:p>
        </w:tc>
      </w:tr>
      <w:tr>
        <w:tc>
          <w:tcPr/>
          <w:p>
            <w:pPr>
              <w:pStyle w:val="Compact"/>
              <w:jc w:val="left"/>
            </w:pPr>
            <w:r>
              <w:t xml:space="preserve">2</w:t>
            </w:r>
          </w:p>
        </w:tc>
        <w:tc>
          <w:tcPr/>
          <w:p>
            <w:pPr>
              <w:pStyle w:val="Compact"/>
              <w:jc w:val="left"/>
            </w:pPr>
            <w:r>
              <w:t xml:space="preserve">Pharmacist – Drug Interaction Analysis &amp; Therapeutic Drug Monitoring</w:t>
            </w:r>
          </w:p>
        </w:tc>
        <w:tc>
          <w:tcPr/>
          <w:p>
            <w:pPr>
              <w:pStyle w:val="Compact"/>
              <w:jc w:val="left"/>
            </w:pPr>
            <w:r>
              <w:t xml:space="preserve">80 hours</w:t>
            </w:r>
          </w:p>
        </w:tc>
        <w:tc>
          <w:tcPr/>
          <w:p>
            <w:pPr>
              <w:pStyle w:val="Compact"/>
              <w:jc w:val="left"/>
            </w:pPr>
            <w:r>
              <w:t xml:space="preserve">€78.00</w:t>
            </w:r>
          </w:p>
        </w:tc>
        <w:tc>
          <w:tcPr/>
          <w:p>
            <w:pPr>
              <w:pStyle w:val="Compact"/>
              <w:jc w:val="left"/>
            </w:pPr>
            <w:r>
              <w:t xml:space="preserve">€6,240.00</w:t>
            </w:r>
          </w:p>
        </w:tc>
        <w:tc>
          <w:tcPr/>
          <w:p>
            <w:pPr>
              <w:pStyle w:val="Compact"/>
              <w:jc w:val="left"/>
            </w:pPr>
            <w:r>
              <w:t xml:space="preserve">Specialized clinical pharmacy</w:t>
            </w:r>
          </w:p>
        </w:tc>
      </w:tr>
      <w:tr>
        <w:tc>
          <w:tcPr/>
          <w:p>
            <w:pPr>
              <w:pStyle w:val="Compact"/>
              <w:jc w:val="left"/>
            </w:pPr>
            <w:r>
              <w:t xml:space="preserve">3</w:t>
            </w:r>
          </w:p>
        </w:tc>
        <w:tc>
          <w:tcPr/>
          <w:p>
            <w:pPr>
              <w:pStyle w:val="Compact"/>
              <w:jc w:val="left"/>
            </w:pPr>
            <w:r>
              <w:t xml:space="preserve">Pharmacist – Patient Counseling &amp; Medication Adherence Programs</w:t>
            </w:r>
          </w:p>
        </w:tc>
        <w:tc>
          <w:tcPr/>
          <w:p>
            <w:pPr>
              <w:pStyle w:val="Compact"/>
              <w:jc w:val="left"/>
            </w:pPr>
            <w:r>
              <w:t xml:space="preserve">60 hours</w:t>
            </w:r>
          </w:p>
        </w:tc>
        <w:tc>
          <w:tcPr/>
          <w:p>
            <w:pPr>
              <w:pStyle w:val="Compact"/>
              <w:jc w:val="left"/>
            </w:pPr>
            <w:r>
              <w:t xml:space="preserve">€72.00</w:t>
            </w:r>
          </w:p>
        </w:tc>
        <w:tc>
          <w:tcPr/>
          <w:p>
            <w:pPr>
              <w:pStyle w:val="Compact"/>
              <w:jc w:val="left"/>
            </w:pPr>
            <w:r>
              <w:t xml:space="preserve">€4,320.00</w:t>
            </w:r>
          </w:p>
        </w:tc>
        <w:tc>
          <w:tcPr/>
          <w:p>
            <w:pPr>
              <w:pStyle w:val="Compact"/>
              <w:jc w:val="left"/>
            </w:pPr>
            <w:r>
              <w:t xml:space="preserve">Outpatient clinic, Berlin-Mitte</w:t>
            </w:r>
          </w:p>
        </w:tc>
      </w:tr>
      <w:tr>
        <w:tc>
          <w:tcPr/>
          <w:p>
            <w:pPr>
              <w:pStyle w:val="Compact"/>
              <w:jc w:val="left"/>
            </w:pPr>
            <w:r>
              <w:t xml:space="preserve">4</w:t>
            </w:r>
          </w:p>
        </w:tc>
        <w:tc>
          <w:tcPr/>
          <w:p>
            <w:pPr>
              <w:pStyle w:val="Compact"/>
              <w:jc w:val="left"/>
            </w:pPr>
            <w:r>
              <w:t xml:space="preserve">Pharmacist – Pharmacovigilance &amp; Adverse Drug Reaction Reporting</w:t>
            </w:r>
          </w:p>
        </w:tc>
        <w:tc>
          <w:tcPr/>
          <w:p>
            <w:pPr>
              <w:pStyle w:val="Compact"/>
              <w:jc w:val="left"/>
            </w:pPr>
            <w:r>
              <w:t xml:space="preserve">40 hours</w:t>
            </w:r>
          </w:p>
        </w:tc>
        <w:tc>
          <w:tcPr/>
          <w:p>
            <w:pPr>
              <w:pStyle w:val="Compact"/>
              <w:jc w:val="left"/>
            </w:pPr>
            <w:r>
              <w:t xml:space="preserve">€80.00</w:t>
            </w:r>
          </w:p>
        </w:tc>
        <w:tc>
          <w:tcPr/>
          <w:p>
            <w:pPr>
              <w:pStyle w:val="Compact"/>
              <w:jc w:val="left"/>
            </w:pPr>
            <w:r>
              <w:t xml:space="preserve">€3,200.00</w:t>
            </w:r>
          </w:p>
        </w:tc>
        <w:tc>
          <w:tcPr/>
          <w:p>
            <w:pPr>
              <w:pStyle w:val="Compact"/>
              <w:jc w:val="left"/>
            </w:pPr>
            <w:r>
              <w:t xml:space="preserve">Compliance with BfArM guidelines</w:t>
            </w:r>
          </w:p>
        </w:tc>
      </w:tr>
      <w:tr>
        <w:tc>
          <w:tcPr/>
          <w:p>
            <w:pPr>
              <w:pStyle w:val="Compact"/>
              <w:jc w:val="left"/>
            </w:pPr>
            <w:r>
              <w:t xml:space="preserve">5</w:t>
            </w:r>
          </w:p>
        </w:tc>
        <w:tc>
          <w:tcPr/>
          <w:p>
            <w:pPr>
              <w:pStyle w:val="Compact"/>
              <w:jc w:val="left"/>
            </w:pPr>
            <w:r>
              <w:t xml:space="preserve">Pharmacist – Formulary Committee Participation &amp; Policy Advisory</w:t>
            </w:r>
          </w:p>
        </w:tc>
        <w:tc>
          <w:tcPr/>
          <w:p>
            <w:pPr>
              <w:pStyle w:val="Compact"/>
              <w:jc w:val="left"/>
            </w:pPr>
            <w:r>
              <w:t xml:space="preserve">24 hours</w:t>
            </w:r>
          </w:p>
        </w:tc>
        <w:tc>
          <w:tcPr/>
          <w:p>
            <w:pPr>
              <w:pStyle w:val="Compact"/>
              <w:jc w:val="left"/>
            </w:pPr>
            <w:r>
              <w:t xml:space="preserve">€95.00</w:t>
            </w:r>
          </w:p>
        </w:tc>
        <w:tc>
          <w:tcPr/>
          <w:p>
            <w:pPr>
              <w:pStyle w:val="Compact"/>
              <w:jc w:val="left"/>
            </w:pPr>
            <w:r>
              <w:t xml:space="preserve">€2,280.00</w:t>
            </w:r>
          </w:p>
        </w:tc>
        <w:tc>
          <w:tcPr/>
          <w:p>
            <w:pPr>
              <w:pStyle w:val="Compact"/>
              <w:jc w:val="left"/>
            </w:pPr>
            <w:r>
              <w:t xml:space="preserve">Strategic consulting role</w:t>
            </w:r>
          </w:p>
        </w:tc>
      </w:tr>
      <w:tr>
        <w:tc>
          <w:tcPr/>
          <w:p>
            <w:pPr>
              <w:pStyle w:val="Compact"/>
              <w:jc w:val="left"/>
            </w:pPr>
            <w:r>
              <w:t xml:space="preserve">6</w:t>
            </w:r>
          </w:p>
        </w:tc>
        <w:tc>
          <w:tcPr/>
          <w:p>
            <w:pPr>
              <w:pStyle w:val="Compact"/>
              <w:jc w:val="left"/>
            </w:pPr>
            <w:r>
              <w:t xml:space="preserve">Administrative &amp; Regulatory Compliance (Berlin Health Authority filings)</w:t>
            </w:r>
          </w:p>
        </w:tc>
        <w:tc>
          <w:tcPr/>
          <w:p>
            <w:pPr>
              <w:pStyle w:val="Compact"/>
              <w:jc w:val="left"/>
            </w:pPr>
            <w:r>
              <w:t xml:space="preserve">Lump sum</w:t>
            </w:r>
          </w:p>
        </w:tc>
        <w:tc>
          <w:tcPr/>
          <w:p>
            <w:pPr>
              <w:pStyle w:val="Compact"/>
              <w:jc w:val="left"/>
            </w:pPr>
            <w:r>
              <w:t xml:space="preserve">€1,500.00</w:t>
            </w:r>
          </w:p>
        </w:tc>
        <w:tc>
          <w:tcPr/>
          <w:p>
            <w:pPr>
              <w:pStyle w:val="Compact"/>
              <w:jc w:val="left"/>
            </w:pPr>
            <w:r>
              <w:t xml:space="preserve">€1,500.00</w:t>
            </w:r>
          </w:p>
        </w:tc>
        <w:tc>
          <w:tcPr/>
          <w:p>
            <w:pPr>
              <w:pStyle w:val="Compact"/>
              <w:jc w:val="left"/>
            </w:pPr>
            <w:r>
              <w:t xml:space="preserve">One-time registration fee</w:t>
            </w:r>
          </w:p>
        </w:tc>
      </w:tr>
      <w:tr>
        <w:tc>
          <w:tcPr/>
          <w:p>
            <w:pPr>
              <w:pStyle w:val="Compact"/>
              <w:jc w:val="left"/>
            </w:pPr>
            <w:r>
              <w:t xml:space="preserve">7</w:t>
            </w:r>
          </w:p>
        </w:tc>
        <w:tc>
          <w:tcPr/>
          <w:p>
            <w:pPr>
              <w:pStyle w:val="Compact"/>
              <w:jc w:val="left"/>
            </w:pPr>
            <w:r>
              <w:t xml:space="preserve">Travel &amp; Local Transportation within Germany Berlin</w:t>
            </w:r>
          </w:p>
        </w:tc>
        <w:tc>
          <w:tcPr/>
          <w:p>
            <w:pPr>
              <w:pStyle w:val="Compact"/>
              <w:jc w:val="left"/>
            </w:pPr>
            <w:r>
              <w:t xml:space="preserve">3 months</w:t>
            </w:r>
          </w:p>
        </w:tc>
        <w:tc>
          <w:tcPr/>
          <w:p>
            <w:pPr>
              <w:pStyle w:val="Compact"/>
              <w:jc w:val="left"/>
            </w:pPr>
            <w:r>
              <w:t xml:space="preserve">€450.00</w:t>
            </w:r>
          </w:p>
        </w:tc>
        <w:tc>
          <w:tcPr/>
          <w:p>
            <w:pPr>
              <w:pStyle w:val="Compact"/>
              <w:jc w:val="left"/>
            </w:pPr>
            <w:r>
              <w:t xml:space="preserve">€1,350.00</w:t>
            </w:r>
          </w:p>
        </w:tc>
        <w:tc>
          <w:tcPr/>
          <w:p>
            <w:pPr>
              <w:pStyle w:val="Compact"/>
              <w:jc w:val="left"/>
            </w:pPr>
            <w:r>
              <w:t xml:space="preserve">Monthly allowance, BVG zone AB</w:t>
            </w:r>
          </w:p>
        </w:tc>
      </w:tr>
      <w:tr>
        <w:tc>
          <w:tcPr/>
          <w:p>
            <w:pPr>
              <w:pStyle w:val="Compact"/>
              <w:jc w:val="left"/>
            </w:pPr>
            <w:r>
              <w:t xml:space="preserve">8</w:t>
            </w:r>
          </w:p>
        </w:tc>
        <w:tc>
          <w:tcPr/>
          <w:p>
            <w:pPr>
              <w:pStyle w:val="Compact"/>
              <w:jc w:val="left"/>
            </w:pPr>
            <w:r>
              <w:t xml:space="preserve">Professional Liability Insurance (Pharmacist, Berlin jurisdiction)</w:t>
            </w:r>
          </w:p>
        </w:tc>
        <w:tc>
          <w:tcPr/>
          <w:p>
            <w:pPr>
              <w:pStyle w:val="Compact"/>
              <w:jc w:val="left"/>
            </w:pPr>
            <w:r>
              <w:t xml:space="preserve">3 months</w:t>
            </w:r>
          </w:p>
        </w:tc>
        <w:tc>
          <w:tcPr/>
          <w:p>
            <w:pPr>
              <w:pStyle w:val="Compact"/>
              <w:jc w:val="left"/>
            </w:pPr>
            <w:r>
              <w:t xml:space="preserve">€600.00</w:t>
            </w:r>
          </w:p>
        </w:tc>
        <w:tc>
          <w:tcPr/>
          <w:p>
            <w:pPr>
              <w:pStyle w:val="Compact"/>
              <w:jc w:val="left"/>
            </w:pPr>
            <w:r>
              <w:t xml:space="preserve">€1,800.00</w:t>
            </w:r>
          </w:p>
        </w:tc>
        <w:tc>
          <w:tcPr/>
          <w:p>
            <w:pPr>
              <w:pStyle w:val="Compact"/>
              <w:jc w:val="left"/>
            </w:pPr>
            <w:r>
              <w:t xml:space="preserve">Per statutory requirement</w:t>
            </w:r>
          </w:p>
        </w:tc>
      </w:tr>
      <w:tr>
        <w:tc>
          <w:tcPr>
            <w:gridSpan w:val="4"/>
          </w:tcPr>
          <w:p>
            <w:pPr>
              <w:pStyle w:val="Compact"/>
              <w:jc w:val="left"/>
            </w:pPr>
            <w:r>
              <w:t xml:space="preserve">Subtotal (excl. VAT)</w:t>
            </w:r>
          </w:p>
        </w:tc>
        <w:tc>
          <w:tcPr/>
          <w:p>
            <w:pPr>
              <w:pStyle w:val="Compact"/>
              <w:jc w:val="left"/>
            </w:pPr>
            <w:r>
              <w:t xml:space="preserve">€30,890.00</w:t>
            </w:r>
          </w:p>
        </w:tc>
        <w:tc>
          <w:tcPr/>
          <w:p>
            <w:pPr>
              <w:pStyle w:val="Compact"/>
            </w:pPr>
          </w:p>
        </w:tc>
      </w:tr>
      <w:tr>
        <w:tc>
          <w:tcPr>
            <w:gridSpan w:val="4"/>
          </w:tcPr>
          <w:p>
            <w:pPr>
              <w:pStyle w:val="Compact"/>
              <w:jc w:val="left"/>
            </w:pPr>
            <w:r>
              <w:t xml:space="preserve">VAT (19% – German Standard Rate)</w:t>
            </w:r>
          </w:p>
        </w:tc>
        <w:tc>
          <w:tcPr/>
          <w:p>
            <w:pPr>
              <w:pStyle w:val="Compact"/>
              <w:jc w:val="left"/>
            </w:pPr>
            <w:r>
              <w:t xml:space="preserve">€5,869.10</w:t>
            </w:r>
          </w:p>
        </w:tc>
        <w:tc>
          <w:tcPr/>
          <w:p>
            <w:pPr>
              <w:pStyle w:val="Compact"/>
            </w:pPr>
          </w:p>
        </w:tc>
      </w:tr>
      <w:tr>
        <w:tc>
          <w:tcPr>
            <w:gridSpan w:val="4"/>
          </w:tcPr>
          <w:p>
            <w:pPr>
              <w:pStyle w:val="Compact"/>
              <w:jc w:val="left"/>
            </w:pPr>
            <w:r>
              <w:t xml:space="preserve">Total Quotation Estimate Amount</w:t>
            </w:r>
          </w:p>
        </w:tc>
        <w:tc>
          <w:tcPr/>
          <w:p>
            <w:pPr>
              <w:pStyle w:val="Compact"/>
              <w:jc w:val="left"/>
            </w:pPr>
            <w:r>
              <w:t xml:space="preserve">€36,759.10</w:t>
            </w:r>
          </w:p>
        </w:tc>
        <w:tc>
          <w:tcPr/>
          <w:p>
            <w:pPr>
              <w:pStyle w:val="Compact"/>
            </w:pPr>
          </w:p>
        </w:tc>
      </w:tr>
    </w:tbl>
    <w:bookmarkEnd w:id="22"/>
    <w:bookmarkStart w:id="23" w:name="X985eb999f0cfcda5f1af1a675bf0b7c2e0a6c64"/>
    <w:p>
      <w:pPr>
        <w:pStyle w:val="Heading2"/>
      </w:pPr>
      <w:r>
        <w:t xml:space="preserve">3. Terms and Conditions of This Quotation Estimate</w:t>
      </w:r>
    </w:p>
    <w:p>
      <w:pPr>
        <w:numPr>
          <w:ilvl w:val="0"/>
          <w:numId w:val="1001"/>
        </w:numPr>
        <w:pStyle w:val="Compact"/>
      </w:pPr>
      <w:r>
        <w:rPr>
          <w:bCs/>
          <w:b/>
        </w:rPr>
        <w:t xml:space="preserve">Validity:</w:t>
      </w:r>
      <w:r>
        <w:t xml:space="preserve"> </w:t>
      </w:r>
      <w:r>
        <w:t xml:space="preserve">This</w:t>
      </w:r>
      <w:r>
        <w:t xml:space="preserve"> </w:t>
      </w:r>
      <w:r>
        <w:t xml:space="preserve">Quotation Estimate</w:t>
      </w:r>
      <w:r>
        <w:t xml:space="preserve"> </w:t>
      </w:r>
      <w:r>
        <w:t xml:space="preserve">is valid for thirty (30) calendar days from the date of issue. Upon expiry, all rates and terms must be renegotiated in writing.</w:t>
      </w:r>
    </w:p>
    <w:p>
      <w:pPr>
        <w:numPr>
          <w:ilvl w:val="0"/>
          <w:numId w:val="1001"/>
        </w:numPr>
        <w:pStyle w:val="Compact"/>
      </w:pPr>
      <w:r>
        <w:rPr>
          <w:bCs/>
          <w:b/>
        </w:rPr>
        <w:t xml:space="preserve">Payment Terms:</w:t>
      </w:r>
      <w:r>
        <w:t xml:space="preserve"> </w:t>
      </w:r>
      <w:r>
        <w:t xml:space="preserve">Invoicing shall be issued monthly in arrears. Payment is due within fourteen (14) days of invoice date via bank transfer to the account of ApotekConsult GmbH, Berlin, Germany. Late payments shall incur interest at the statutory rate under § 288 BGB.</w:t>
      </w:r>
    </w:p>
    <w:p>
      <w:pPr>
        <w:numPr>
          <w:ilvl w:val="0"/>
          <w:numId w:val="1001"/>
        </w:numPr>
        <w:pStyle w:val="Compact"/>
      </w:pPr>
      <w:r>
        <w:rPr>
          <w:bCs/>
          <w:b/>
        </w:rPr>
        <w:t xml:space="preserve">Pharmacist Qualifications:</w:t>
      </w:r>
      <w:r>
        <w:t xml:space="preserve"> </w:t>
      </w:r>
      <w:r>
        <w:t xml:space="preserve">The</w:t>
      </w:r>
      <w:r>
        <w:t xml:space="preserve"> </w:t>
      </w:r>
      <w:r>
        <w:t xml:space="preserve">Pharmacist</w:t>
      </w:r>
      <w:r>
        <w:t xml:space="preserve"> </w:t>
      </w:r>
      <w:r>
        <w:t xml:space="preserve">assigned to this engagement shall hold a recognized degree in Pharmacy (Dipl.-Pharm. or M.Sc. Pharmacy) and a valid practicing license issued by the competent authority in</w:t>
      </w:r>
      <w:r>
        <w:t xml:space="preserve"> </w:t>
      </w:r>
      <w:r>
        <w:t xml:space="preserve">Germany Berlin</w:t>
      </w:r>
      <w:r>
        <w:t xml:space="preserve">. Proof of licensure shall be provided prior to commencement of services.</w:t>
      </w:r>
    </w:p>
    <w:p>
      <w:pPr>
        <w:numPr>
          <w:ilvl w:val="0"/>
          <w:numId w:val="1001"/>
        </w:numPr>
        <w:pStyle w:val="Compact"/>
      </w:pPr>
      <w:r>
        <w:rPr>
          <w:bCs/>
          <w:b/>
        </w:rPr>
        <w:t xml:space="preserve">Compliance:</w:t>
      </w:r>
      <w:r>
        <w:t xml:space="preserve"> </w:t>
      </w:r>
      <w:r>
        <w:t xml:space="preserve">All</w:t>
      </w:r>
      <w:r>
        <w:t xml:space="preserve"> </w:t>
      </w:r>
      <w:r>
        <w:t xml:space="preserve">Pharmacist</w:t>
      </w:r>
      <w:r>
        <w:t xml:space="preserve"> </w:t>
      </w:r>
      <w:r>
        <w:t xml:space="preserve">activities shall be conducted in strict accordance with the German Pharmacy Act (Apothekengesetz), the Berlin Pharmacy Ordinance (Berliner Apothekenverordnung), and all applicable federal and state regulations governing pharmaceutical practice in</w:t>
      </w:r>
      <w:r>
        <w:t xml:space="preserve"> </w:t>
      </w:r>
      <w:r>
        <w:t xml:space="preserve">Germany Berlin</w:t>
      </w:r>
      <w:r>
        <w:t xml:space="preserve">.</w:t>
      </w:r>
    </w:p>
    <w:p>
      <w:pPr>
        <w:numPr>
          <w:ilvl w:val="0"/>
          <w:numId w:val="1001"/>
        </w:numPr>
        <w:pStyle w:val="Compact"/>
      </w:pPr>
      <w:r>
        <w:rPr>
          <w:bCs/>
          <w:b/>
        </w:rPr>
        <w:t xml:space="preserve">Confidentiality:</w:t>
      </w:r>
      <w:r>
        <w:t xml:space="preserve"> </w:t>
      </w:r>
      <w:r>
        <w:t xml:space="preserve">The</w:t>
      </w:r>
      <w:r>
        <w:t xml:space="preserve"> </w:t>
      </w:r>
      <w:r>
        <w:t xml:space="preserve">Pharmacist</w:t>
      </w:r>
      <w:r>
        <w:t xml:space="preserve"> </w:t>
      </w:r>
      <w:r>
        <w:t xml:space="preserve">and ApotekConsult GmbH shall maintain strict confidentiality of all patient data and institutional information in accordance with the German Federal Data Protection Act (BDSG) and the EU General Data Protection Regulation (GDPR).</w:t>
      </w:r>
    </w:p>
    <w:p>
      <w:pPr>
        <w:numPr>
          <w:ilvl w:val="0"/>
          <w:numId w:val="1001"/>
        </w:numPr>
        <w:pStyle w:val="Compact"/>
      </w:pPr>
      <w:r>
        <w:rPr>
          <w:bCs/>
          <w:b/>
        </w:rPr>
        <w:t xml:space="preserve">Termination:</w:t>
      </w:r>
      <w:r>
        <w:t xml:space="preserve"> </w:t>
      </w:r>
      <w:r>
        <w:t xml:space="preserve">Either party may terminate the engagement with a written notice period of thirty (30) days. In the event of early termination, a pro-rata adjustment to the</w:t>
      </w:r>
      <w:r>
        <w:t xml:space="preserve"> </w:t>
      </w:r>
      <w:r>
        <w:t xml:space="preserve">Quotation Estimate</w:t>
      </w:r>
      <w:r>
        <w:t xml:space="preserve"> </w:t>
      </w:r>
      <w:r>
        <w:t xml:space="preserve">total shall be applied.</w:t>
      </w:r>
    </w:p>
    <w:p>
      <w:pPr>
        <w:numPr>
          <w:ilvl w:val="0"/>
          <w:numId w:val="1001"/>
        </w:numPr>
        <w:pStyle w:val="Compact"/>
      </w:pPr>
      <w:r>
        <w:rPr>
          <w:bCs/>
          <w:b/>
        </w:rPr>
        <w:t xml:space="preserve">Dispute Resolution:</w:t>
      </w:r>
      <w:r>
        <w:t xml:space="preserve"> </w:t>
      </w:r>
      <w:r>
        <w:t xml:space="preserve">Any disputes arising from this</w:t>
      </w:r>
      <w:r>
        <w:t xml:space="preserve"> </w:t>
      </w:r>
      <w:r>
        <w:t xml:space="preserve">Quotation Estimate</w:t>
      </w:r>
      <w:r>
        <w:t xml:space="preserve"> </w:t>
      </w:r>
      <w:r>
        <w:t xml:space="preserve">shall be resolved under the jurisdiction of the competent courts in Berlin, Germany. The applicable law shall be the law of the Federal Republic of Germany.</w:t>
      </w:r>
    </w:p>
    <w:p>
      <w:pPr>
        <w:numPr>
          <w:ilvl w:val="0"/>
          <w:numId w:val="1001"/>
        </w:numPr>
        <w:pStyle w:val="Compact"/>
      </w:pPr>
      <w:r>
        <w:rPr>
          <w:bCs/>
          <w:b/>
        </w:rPr>
        <w:t xml:space="preserve">Force Majeure:</w:t>
      </w:r>
      <w:r>
        <w:t xml:space="preserve"> </w:t>
      </w:r>
      <w:r>
        <w:t xml:space="preserve">Neither party shall be liable for delays or failures in performance resulting from circumstances beyond reasonable control, including but not limited to public health emergencies affecting operations in</w:t>
      </w:r>
      <w:r>
        <w:t xml:space="preserve"> </w:t>
      </w:r>
      <w:r>
        <w:t xml:space="preserve">Germany Berlin</w:t>
      </w:r>
      <w:r>
        <w:t xml:space="preserve">.</w:t>
      </w:r>
    </w:p>
    <w:bookmarkEnd w:id="23"/>
    <w:bookmarkStart w:id="24" w:name="acceptance-and-authorization"/>
    <w:p>
      <w:pPr>
        <w:pStyle w:val="Heading2"/>
      </w:pPr>
      <w:r>
        <w:t xml:space="preserve">4.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cost structure outlined herein for the provision of</w:t>
      </w:r>
      <w:r>
        <w:t xml:space="preserve"> </w:t>
      </w:r>
      <w:r>
        <w:t xml:space="preserve">Pharmacist</w:t>
      </w:r>
      <w:r>
        <w:t xml:space="preserve"> </w:t>
      </w:r>
      <w:r>
        <w:t xml:space="preserve">services in</w:t>
      </w:r>
      <w:r>
        <w:t xml:space="preserve"> </w:t>
      </w:r>
      <w:r>
        <w:t xml:space="preserve">Germany Berlin</w:t>
      </w:r>
      <w:r>
        <w:t xml:space="preserve">. This signature constitutes formal acceptance and authorizes ApotekConsult GmbH to proceed with the engagement of the specified</w:t>
      </w:r>
      <w:r>
        <w:t xml:space="preserve"> </w:t>
      </w:r>
      <w:r>
        <w:t xml:space="preserve">Pharmacist</w:t>
      </w:r>
      <w:r>
        <w:t xml:space="preserve"> </w:t>
      </w:r>
      <w:r>
        <w:t xml:space="preserve">personnel.</w:t>
      </w:r>
    </w:p>
    <w:p>
      <w:pPr>
        <w:pStyle w:val="BodyText"/>
      </w:pPr>
      <w:r>
        <w:rPr>
          <w:bCs/>
          <w:b/>
        </w:rPr>
        <w:t xml:space="preserve">For ApotekConsult GmbH (Provider):</w:t>
      </w:r>
    </w:p>
    <w:p>
      <w:pPr>
        <w:pStyle w:val="BodyText"/>
      </w:pPr>
      <w:r>
        <w:t xml:space="preserve">Dr. Thomas Weber, M.Sc. Pharmacy</w:t>
      </w:r>
      <w:r>
        <w:br/>
      </w:r>
      <w:r>
        <w:t xml:space="preserve">Managing Director</w:t>
      </w:r>
      <w:r>
        <w:br/>
      </w:r>
      <w:r>
        <w:t xml:space="preserve">Date: _________________________</w:t>
      </w:r>
    </w:p>
    <w:p>
      <w:pPr>
        <w:pStyle w:val="BodyText"/>
      </w:pPr>
      <w:r>
        <w:rPr>
          <w:bCs/>
          <w:b/>
        </w:rPr>
        <w:t xml:space="preserve">For Charité – Universitätsmedizin Berlin (Client):</w:t>
      </w:r>
    </w:p>
    <w:p>
      <w:pPr>
        <w:pStyle w:val="BodyText"/>
      </w:pPr>
      <w:r>
        <w:t xml:space="preserve">Dr. Michaela Schneider</w:t>
      </w:r>
      <w:r>
        <w:br/>
      </w:r>
      <w:r>
        <w:t xml:space="preserve">Head of Pharmacy Department</w:t>
      </w:r>
      <w:r>
        <w:br/>
      </w:r>
      <w:r>
        <w:t xml:space="preserve">Date: _________________________</w:t>
      </w:r>
    </w:p>
    <w:p>
      <w:pPr>
        <w:pStyle w:val="BodyText"/>
      </w:pPr>
      <w:r>
        <w:t xml:space="preserve">This Quotation Estimate (Ref: QE-2025-BER-0472) was prepared by ApotekConsult GmbH, Berlin, Germany.</w:t>
      </w:r>
      <w:r>
        <w:t xml:space="preserve"> </w:t>
      </w:r>
      <w:r>
        <w:t xml:space="preserve">All amounts are stated in Euro (EUR). This document is valid only for the specific Pharmacist engagement described herein</w:t>
      </w:r>
      <w:r>
        <w:t xml:space="preserve"> </w:t>
      </w:r>
      <w:r>
        <w:t xml:space="preserve">and the service location of Germany Berlin. Unauthorized reproduction or distribution is prohibited.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Pharmacist Services - Germany Berlin</dc:title>
  <dc:creator/>
  <dc:language>en</dc:language>
  <cp:keywords/>
  <dcterms:created xsi:type="dcterms:W3CDTF">2026-10-10T03:34:41Z</dcterms:created>
  <dcterms:modified xsi:type="dcterms:W3CDTF">2026-10-10T03:34:41Z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