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Pharmacist</w:t>
      </w:r>
      <w:r>
        <w:t xml:space="preserve"> </w:t>
      </w:r>
      <w:r>
        <w:t xml:space="preserve">Services</w:t>
      </w:r>
      <w:r>
        <w:t xml:space="preserve"> </w:t>
      </w:r>
      <w:r>
        <w:t xml:space="preserve">-</w:t>
      </w:r>
      <w:r>
        <w:t xml:space="preserve"> </w:t>
      </w:r>
      <w:r>
        <w:t xml:space="preserve">Ghana</w:t>
      </w:r>
      <w:r>
        <w:t xml:space="preserve"> </w:t>
      </w:r>
      <w:r>
        <w:t xml:space="preserve">Accra</w:t>
      </w:r>
    </w:p>
    <w:bookmarkStart w:id="20" w:name="quotation-estimate"/>
    <w:p>
      <w:pPr>
        <w:pStyle w:val="Heading1"/>
      </w:pPr>
      <w:r>
        <w:t xml:space="preserve">Quotation Estimate</w:t>
      </w:r>
    </w:p>
    <w:p>
      <w:pPr>
        <w:pStyle w:val="FirstParagraph"/>
      </w:pPr>
      <w:r>
        <w:rPr>
          <w:bCs/>
          <w:b/>
        </w:rPr>
        <w:t xml:space="preserve">MediCare Professional Services Ltd.</w:t>
      </w:r>
    </w:p>
    <w:p>
      <w:pPr>
        <w:pStyle w:val="BodyText"/>
      </w:pPr>
      <w:r>
        <w:t xml:space="preserve">12 Independence Avenue, Osu, Accra, Ghana</w:t>
      </w:r>
    </w:p>
    <w:p>
      <w:pPr>
        <w:pStyle w:val="BodyText"/>
      </w:pPr>
      <w:r>
        <w:t xml:space="preserve">Tel: +233 302 445 678 | Email: quotations@medicaregh.com | RC: 20190785-4421</w:t>
      </w:r>
    </w:p>
    <w:p>
      <w:pPr>
        <w:pStyle w:val="BodyText"/>
      </w:pPr>
      <w:r>
        <w:t xml:space="preserve">Ghana Revenue Authority TIN: 10456789012</w:t>
      </w:r>
    </w:p>
    <w:bookmarkEnd w:id="20"/>
    <w:tbl>
      <w:tblPr>
        <w:tblStyle w:val="Table"/>
        <w:tblW w:type="auto" w:w="0"/>
        <w:tblLook w:firstRow="0" w:lastRow="0" w:firstColumn="0" w:lastColumn="0" w:noHBand="0" w:noVBand="0" w:val="0000"/>
      </w:tblPr>
      <w:tblGrid>
        <w:gridCol w:w="1980"/>
        <w:gridCol w:w="1980"/>
        <w:gridCol w:w="1980"/>
        <w:gridCol w:w="1980"/>
      </w:tblGrid>
      <w:tr>
        <w:tc>
          <w:tcPr/>
          <w:p>
            <w:pPr>
              <w:pStyle w:val="Compact"/>
              <w:jc w:val="left"/>
            </w:pPr>
            <w:r>
              <w:t xml:space="preserve">Quotation Estimate No.:</w:t>
            </w:r>
          </w:p>
        </w:tc>
        <w:tc>
          <w:tcPr/>
          <w:p>
            <w:pPr>
              <w:pStyle w:val="Compact"/>
              <w:jc w:val="left"/>
            </w:pPr>
            <w:r>
              <w:t xml:space="preserve">QTE-2025-0487</w:t>
            </w:r>
          </w:p>
        </w:tc>
        <w:tc>
          <w:tcPr/>
          <w:p>
            <w:pPr>
              <w:pStyle w:val="Compact"/>
              <w:jc w:val="left"/>
            </w:pPr>
            <w:r>
              <w:t xml:space="preserve">Date of Issue:</w:t>
            </w:r>
          </w:p>
        </w:tc>
        <w:tc>
          <w:tcPr/>
          <w:p>
            <w:pPr>
              <w:pStyle w:val="Compact"/>
              <w:jc w:val="left"/>
            </w:pPr>
            <w:r>
              <w:t xml:space="preserve">15 June 2025</w:t>
            </w:r>
          </w:p>
        </w:tc>
      </w:tr>
      <w:tr>
        <w:tc>
          <w:tcPr/>
          <w:p>
            <w:pPr>
              <w:pStyle w:val="Compact"/>
              <w:jc w:val="left"/>
            </w:pPr>
            <w:r>
              <w:t xml:space="preserve">Valid Until:</w:t>
            </w:r>
          </w:p>
        </w:tc>
        <w:tc>
          <w:tcPr/>
          <w:p>
            <w:pPr>
              <w:pStyle w:val="Compact"/>
              <w:jc w:val="left"/>
            </w:pPr>
            <w:r>
              <w:t xml:space="preserve">15 July 2025 (30 days)</w:t>
            </w:r>
          </w:p>
        </w:tc>
        <w:tc>
          <w:tcPr/>
          <w:p>
            <w:pPr>
              <w:pStyle w:val="Compact"/>
              <w:jc w:val="left"/>
            </w:pPr>
            <w:r>
              <w:t xml:space="preserve">Currency:</w:t>
            </w:r>
          </w:p>
        </w:tc>
        <w:tc>
          <w:tcPr/>
          <w:p>
            <w:pPr>
              <w:pStyle w:val="Compact"/>
              <w:jc w:val="left"/>
            </w:pPr>
            <w:r>
              <w:t xml:space="preserve">Ghana Cedi (GHS)</w:t>
            </w:r>
          </w:p>
        </w:tc>
      </w:tr>
      <w:tr>
        <w:tc>
          <w:tcPr/>
          <w:p>
            <w:pPr>
              <w:pStyle w:val="Compact"/>
              <w:jc w:val="left"/>
            </w:pPr>
            <w:r>
              <w:t xml:space="preserve">Prepared For:</w:t>
            </w:r>
          </w:p>
        </w:tc>
        <w:tc>
          <w:tcPr>
            <w:gridSpan w:val="3"/>
          </w:tcPr>
          <w:p>
            <w:pPr>
              <w:pStyle w:val="Compact"/>
              <w:jc w:val="left"/>
            </w:pPr>
            <w:r>
              <w:t xml:space="preserve">Accra Regional Health Directorate, P.O. Box 1234, Accra, Ghana</w:t>
            </w:r>
          </w:p>
        </w:tc>
      </w:tr>
      <w:tr>
        <w:tc>
          <w:tcPr/>
          <w:p>
            <w:pPr>
              <w:pStyle w:val="Compact"/>
              <w:jc w:val="left"/>
            </w:pPr>
            <w:r>
              <w:t xml:space="preserve">Attention:</w:t>
            </w:r>
          </w:p>
        </w:tc>
        <w:tc>
          <w:tcPr>
            <w:gridSpan w:val="3"/>
          </w:tcPr>
          <w:p>
            <w:pPr>
              <w:pStyle w:val="Compact"/>
              <w:jc w:val="left"/>
            </w:pPr>
            <w:r>
              <w:t xml:space="preserve">Dr. Kwame Asante, Director of Human Resources</w:t>
            </w:r>
          </w:p>
        </w:tc>
      </w:tr>
      <w:tr>
        <w:tc>
          <w:tcPr/>
          <w:p>
            <w:pPr>
              <w:pStyle w:val="Compact"/>
              <w:jc w:val="left"/>
            </w:pPr>
            <w:r>
              <w:t xml:space="preserve">Subject:</w:t>
            </w:r>
          </w:p>
        </w:tc>
        <w:tc>
          <w:tcPr>
            <w:gridSpan w:val="3"/>
          </w:tcPr>
          <w:p>
            <w:pPr>
              <w:pStyle w:val="Compact"/>
              <w:jc w:val="left"/>
            </w:pPr>
            <w:r>
              <w:t xml:space="preserve">Professional Pharmacist Services – Recruitment, Deployment &amp; Ongoing Support in Ghana Accra</w:t>
            </w:r>
          </w:p>
        </w:tc>
      </w:tr>
    </w:tbl>
    <w:bookmarkStart w:id="21" w:name="X091f0dfb82768bdcc14fb07ea5eabec314d991f"/>
    <w:p>
      <w:pPr>
        <w:pStyle w:val="Heading2"/>
      </w:pPr>
      <w:r>
        <w:t xml:space="preserve">1. Introduction and Purpose of This Quotation Estimate</w:t>
      </w:r>
    </w:p>
    <w:p>
      <w:pPr>
        <w:pStyle w:val="FirstParagraph"/>
      </w:pPr>
      <w:r>
        <w:t xml:space="preserve">MediCare Professional Services Ltd. is pleased to submit this</w:t>
      </w:r>
      <w:r>
        <w:t xml:space="preserve"> </w:t>
      </w:r>
      <w:r>
        <w:t xml:space="preserve">Quotation Estimate</w:t>
      </w:r>
      <w:r>
        <w:t xml:space="preserve"> </w:t>
      </w:r>
      <w:r>
        <w:t xml:space="preserve">for the provision of qualified</w:t>
      </w:r>
      <w:r>
        <w:t xml:space="preserve"> </w:t>
      </w:r>
      <w:r>
        <w:t xml:space="preserve">Pharmacist</w:t>
      </w:r>
      <w:r>
        <w:t xml:space="preserve"> </w:t>
      </w:r>
      <w:r>
        <w:t xml:space="preserve">services to the Accra Regional Health Directorate. This document outlines the comprehensive scope of work, associated costs, and contractual terms for engaging a registered</w:t>
      </w:r>
      <w:r>
        <w:t xml:space="preserve"> </w:t>
      </w:r>
      <w:r>
        <w:t xml:space="preserve">Pharmacist</w:t>
      </w:r>
      <w:r>
        <w:t xml:space="preserve"> </w:t>
      </w:r>
      <w:r>
        <w:t xml:space="preserve">to support pharmaceutical operations across designated health facilities in</w:t>
      </w:r>
      <w:r>
        <w:t xml:space="preserve"> </w:t>
      </w:r>
      <w:r>
        <w:t xml:space="preserve">Ghana Accra</w:t>
      </w:r>
      <w:r>
        <w:t xml:space="preserve">. The services described herein are designed to meet the regulatory standards set by the Pharmacy Council of Ghana and to align with the operational requirements of public and private healthcare institutions within the Greater Accra Region.</w:t>
      </w:r>
    </w:p>
    <w:bookmarkEnd w:id="21"/>
    <w:bookmarkStart w:id="22" w:name="scope-of-services"/>
    <w:p>
      <w:pPr>
        <w:pStyle w:val="Heading2"/>
      </w:pPr>
      <w:r>
        <w:t xml:space="preserve">2. Scope of Services</w:t>
      </w:r>
    </w:p>
    <w:p>
      <w:pPr>
        <w:pStyle w:val="FirstParagraph"/>
      </w:pPr>
      <w:r>
        <w:t xml:space="preserve">The</w:t>
      </w:r>
      <w:r>
        <w:t xml:space="preserve"> </w:t>
      </w:r>
      <w:r>
        <w:t xml:space="preserve">Pharmacist</w:t>
      </w:r>
      <w:r>
        <w:t xml:space="preserve"> </w:t>
      </w:r>
      <w:r>
        <w:t xml:space="preserve">engaged under this</w:t>
      </w:r>
      <w:r>
        <w:t xml:space="preserve"> </w:t>
      </w:r>
      <w:r>
        <w:t xml:space="preserve">Quotation Estimate</w:t>
      </w:r>
      <w:r>
        <w:t xml:space="preserve"> </w:t>
      </w:r>
      <w:r>
        <w:t xml:space="preserve">shall perform the following duties within the</w:t>
      </w:r>
      <w:r>
        <w:t xml:space="preserve"> </w:t>
      </w:r>
      <w:r>
        <w:t xml:space="preserve">Ghana Accra</w:t>
      </w:r>
      <w:r>
        <w:t xml:space="preserve"> </w:t>
      </w:r>
      <w:r>
        <w:t xml:space="preserve">healthcare network:</w:t>
      </w:r>
    </w:p>
    <w:p>
      <w:pPr>
        <w:numPr>
          <w:ilvl w:val="0"/>
          <w:numId w:val="1001"/>
        </w:numPr>
        <w:pStyle w:val="Compact"/>
      </w:pPr>
      <w:r>
        <w:t xml:space="preserve">Dispensing of prescription and over-the-counter medications in compliance with Ghanaian pharmaceutical regulations.</w:t>
      </w:r>
    </w:p>
    <w:p>
      <w:pPr>
        <w:numPr>
          <w:ilvl w:val="0"/>
          <w:numId w:val="1001"/>
        </w:numPr>
        <w:pStyle w:val="Compact"/>
      </w:pPr>
      <w:r>
        <w:t xml:space="preserve">Management of inventory, stock control, and procurement of pharmaceutical products at assigned clinics and hospitals in Accra.</w:t>
      </w:r>
    </w:p>
    <w:p>
      <w:pPr>
        <w:numPr>
          <w:ilvl w:val="0"/>
          <w:numId w:val="1001"/>
        </w:numPr>
        <w:pStyle w:val="Compact"/>
      </w:pPr>
      <w:r>
        <w:t xml:space="preserve">Provision of patient counselling on medication usage, side effects, and drug interactions.</w:t>
      </w:r>
    </w:p>
    <w:p>
      <w:pPr>
        <w:numPr>
          <w:ilvl w:val="0"/>
          <w:numId w:val="1001"/>
        </w:numPr>
        <w:pStyle w:val="Compact"/>
      </w:pPr>
      <w:r>
        <w:t xml:space="preserve">Conducting regular audits of drug storage conditions, expiry dates, and cold-chain integrity.</w:t>
      </w:r>
    </w:p>
    <w:p>
      <w:pPr>
        <w:numPr>
          <w:ilvl w:val="0"/>
          <w:numId w:val="1001"/>
        </w:numPr>
        <w:pStyle w:val="Compact"/>
      </w:pPr>
      <w:r>
        <w:t xml:space="preserve">Collaboration with physicians and nursing staff on therapeutic regimens and antimicrobial stewardship programmes.</w:t>
      </w:r>
    </w:p>
    <w:p>
      <w:pPr>
        <w:numPr>
          <w:ilvl w:val="0"/>
          <w:numId w:val="1001"/>
        </w:numPr>
        <w:pStyle w:val="Compact"/>
      </w:pPr>
      <w:r>
        <w:t xml:space="preserve">Maintenance of accurate patient medication records in accordance with the Data Protection Act, 2012 (Act 843) of Ghana.</w:t>
      </w:r>
    </w:p>
    <w:p>
      <w:pPr>
        <w:numPr>
          <w:ilvl w:val="0"/>
          <w:numId w:val="1001"/>
        </w:numPr>
        <w:pStyle w:val="Compact"/>
      </w:pPr>
      <w:r>
        <w:t xml:space="preserve">Participation in community health outreach programmes across the Accra Metropolitan and Ga East Municipal Assemblies.</w:t>
      </w:r>
    </w:p>
    <w:bookmarkEnd w:id="22"/>
    <w:bookmarkStart w:id="23" w:name="itemised-cost-breakdown"/>
    <w:p>
      <w:pPr>
        <w:pStyle w:val="Heading2"/>
      </w:pPr>
      <w:r>
        <w:t xml:space="preserve">3. Itemised Cost Breakdown</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w:t>
            </w:r>
          </w:p>
        </w:tc>
        <w:tc>
          <w:tcPr/>
          <w:p>
            <w:pPr>
              <w:pStyle w:val="Compact"/>
              <w:jc w:val="left"/>
            </w:pPr>
            <w:r>
              <w:t xml:space="preserve">Description of Service</w:t>
            </w:r>
          </w:p>
        </w:tc>
        <w:tc>
          <w:tcPr/>
          <w:p>
            <w:pPr>
              <w:pStyle w:val="Compact"/>
              <w:jc w:val="left"/>
            </w:pPr>
            <w:r>
              <w:t xml:space="preserve">Duration / Qty</w:t>
            </w:r>
          </w:p>
        </w:tc>
        <w:tc>
          <w:tcPr/>
          <w:p>
            <w:pPr>
              <w:pStyle w:val="Compact"/>
              <w:jc w:val="left"/>
            </w:pPr>
            <w:r>
              <w:t xml:space="preserve">Unit Rate (GHS)</w:t>
            </w:r>
          </w:p>
        </w:tc>
        <w:tc>
          <w:tcPr/>
          <w:p>
            <w:pPr>
              <w:pStyle w:val="Compact"/>
              <w:jc w:val="left"/>
            </w:pPr>
            <w:r>
              <w:t xml:space="preserve">Total (GHS)</w:t>
            </w:r>
          </w:p>
        </w:tc>
      </w:tr>
      <w:tr>
        <w:tc>
          <w:tcPr/>
          <w:p>
            <w:pPr>
              <w:pStyle w:val="Compact"/>
              <w:jc w:val="left"/>
            </w:pPr>
            <w:r>
              <w:t xml:space="preserve">1</w:t>
            </w:r>
          </w:p>
        </w:tc>
        <w:tc>
          <w:tcPr/>
          <w:p>
            <w:pPr>
              <w:pStyle w:val="Compact"/>
              <w:jc w:val="left"/>
            </w:pPr>
            <w:r>
              <w:t xml:space="preserve">Recruitment, vetting, and licensing of a registered Pharmacist (Pharmacy Council of Ghana)</w:t>
            </w:r>
          </w:p>
        </w:tc>
        <w:tc>
          <w:tcPr/>
          <w:p>
            <w:pPr>
              <w:pStyle w:val="Compact"/>
              <w:jc w:val="left"/>
            </w:pPr>
            <w:r>
              <w:t xml:space="preserve">1 position</w:t>
            </w:r>
          </w:p>
        </w:tc>
        <w:tc>
          <w:tcPr/>
          <w:p>
            <w:pPr>
              <w:pStyle w:val="Compact"/>
              <w:jc w:val="left"/>
            </w:pPr>
            <w:r>
              <w:t xml:space="preserve">8,500.00</w:t>
            </w:r>
          </w:p>
        </w:tc>
        <w:tc>
          <w:tcPr/>
          <w:p>
            <w:pPr>
              <w:pStyle w:val="Compact"/>
              <w:jc w:val="left"/>
            </w:pPr>
            <w:r>
              <w:t xml:space="preserve">8,500.00</w:t>
            </w:r>
          </w:p>
        </w:tc>
      </w:tr>
      <w:tr>
        <w:tc>
          <w:tcPr/>
          <w:p>
            <w:pPr>
              <w:pStyle w:val="Compact"/>
              <w:jc w:val="left"/>
            </w:pPr>
            <w:r>
              <w:t xml:space="preserve">2</w:t>
            </w:r>
          </w:p>
        </w:tc>
        <w:tc>
          <w:tcPr/>
          <w:p>
            <w:pPr>
              <w:pStyle w:val="Compact"/>
              <w:jc w:val="left"/>
            </w:pPr>
            <w:r>
              <w:t xml:space="preserve">Monthly professional salary and statutory contributions (SSNIT, PAYE) for the Pharmacist</w:t>
            </w:r>
          </w:p>
        </w:tc>
        <w:tc>
          <w:tcPr/>
          <w:p>
            <w:pPr>
              <w:pStyle w:val="Compact"/>
              <w:jc w:val="left"/>
            </w:pPr>
            <w:r>
              <w:t xml:space="preserve">12 months</w:t>
            </w:r>
          </w:p>
        </w:tc>
        <w:tc>
          <w:tcPr/>
          <w:p>
            <w:pPr>
              <w:pStyle w:val="Compact"/>
              <w:jc w:val="left"/>
            </w:pPr>
            <w:r>
              <w:t xml:space="preserve">12,000.00</w:t>
            </w:r>
          </w:p>
        </w:tc>
        <w:tc>
          <w:tcPr/>
          <w:p>
            <w:pPr>
              <w:pStyle w:val="Compact"/>
              <w:jc w:val="left"/>
            </w:pPr>
            <w:r>
              <w:t xml:space="preserve">144,000.00</w:t>
            </w:r>
          </w:p>
        </w:tc>
      </w:tr>
      <w:tr>
        <w:tc>
          <w:tcPr/>
          <w:p>
            <w:pPr>
              <w:pStyle w:val="Compact"/>
              <w:jc w:val="left"/>
            </w:pPr>
            <w:r>
              <w:t xml:space="preserve">3</w:t>
            </w:r>
          </w:p>
        </w:tc>
        <w:tc>
          <w:tcPr/>
          <w:p>
            <w:pPr>
              <w:pStyle w:val="Compact"/>
              <w:jc w:val="left"/>
            </w:pPr>
            <w:r>
              <w:t xml:space="preserve">Annual continuing professional development (CPD) training and certification for the Pharmacist</w:t>
            </w:r>
          </w:p>
        </w:tc>
        <w:tc>
          <w:tcPr/>
          <w:p>
            <w:pPr>
              <w:pStyle w:val="Compact"/>
              <w:jc w:val="left"/>
            </w:pPr>
            <w:r>
              <w:t xml:space="preserve">1 year</w:t>
            </w:r>
          </w:p>
        </w:tc>
        <w:tc>
          <w:tcPr/>
          <w:p>
            <w:pPr>
              <w:pStyle w:val="Compact"/>
              <w:jc w:val="left"/>
            </w:pPr>
            <w:r>
              <w:t xml:space="preserve">4,200.00</w:t>
            </w:r>
          </w:p>
        </w:tc>
        <w:tc>
          <w:tcPr/>
          <w:p>
            <w:pPr>
              <w:pStyle w:val="Compact"/>
              <w:jc w:val="left"/>
            </w:pPr>
            <w:r>
              <w:t xml:space="preserve">4,200.00</w:t>
            </w:r>
          </w:p>
        </w:tc>
      </w:tr>
      <w:tr>
        <w:tc>
          <w:tcPr/>
          <w:p>
            <w:pPr>
              <w:pStyle w:val="Compact"/>
              <w:jc w:val="left"/>
            </w:pPr>
            <w:r>
              <w:t xml:space="preserve">4</w:t>
            </w:r>
          </w:p>
        </w:tc>
        <w:tc>
          <w:tcPr/>
          <w:p>
            <w:pPr>
              <w:pStyle w:val="Compact"/>
              <w:jc w:val="left"/>
            </w:pPr>
            <w:r>
              <w:t xml:space="preserve">Provision of pharmaceutical software licence (e-Pharmacy Accra) and hardware setup</w:t>
            </w:r>
          </w:p>
        </w:tc>
        <w:tc>
          <w:tcPr/>
          <w:p>
            <w:pPr>
              <w:pStyle w:val="Compact"/>
              <w:jc w:val="left"/>
            </w:pPr>
            <w:r>
              <w:t xml:space="preserve">1 workstation</w:t>
            </w:r>
          </w:p>
        </w:tc>
        <w:tc>
          <w:tcPr/>
          <w:p>
            <w:pPr>
              <w:pStyle w:val="Compact"/>
              <w:jc w:val="left"/>
            </w:pPr>
            <w:r>
              <w:t xml:space="preserve">6,800.00</w:t>
            </w:r>
          </w:p>
        </w:tc>
        <w:tc>
          <w:tcPr/>
          <w:p>
            <w:pPr>
              <w:pStyle w:val="Compact"/>
              <w:jc w:val="left"/>
            </w:pPr>
            <w:r>
              <w:t xml:space="preserve">6,800.00</w:t>
            </w:r>
          </w:p>
        </w:tc>
      </w:tr>
      <w:tr>
        <w:tc>
          <w:tcPr/>
          <w:p>
            <w:pPr>
              <w:pStyle w:val="Compact"/>
              <w:jc w:val="left"/>
            </w:pPr>
            <w:r>
              <w:t xml:space="preserve">5</w:t>
            </w:r>
          </w:p>
        </w:tc>
        <w:tc>
          <w:tcPr/>
          <w:p>
            <w:pPr>
              <w:pStyle w:val="Compact"/>
              <w:jc w:val="left"/>
            </w:pPr>
            <w:r>
              <w:t xml:space="preserve">Quarterly performance review and operational supervision by MediCare management team in Ghana Accra</w:t>
            </w:r>
          </w:p>
        </w:tc>
        <w:tc>
          <w:tcPr/>
          <w:p>
            <w:pPr>
              <w:pStyle w:val="Compact"/>
              <w:jc w:val="left"/>
            </w:pPr>
            <w:r>
              <w:t xml:space="preserve">4 quarters</w:t>
            </w:r>
          </w:p>
        </w:tc>
        <w:tc>
          <w:tcPr/>
          <w:p>
            <w:pPr>
              <w:pStyle w:val="Compact"/>
              <w:jc w:val="left"/>
            </w:pPr>
            <w:r>
              <w:t xml:space="preserve">2,500.00</w:t>
            </w:r>
          </w:p>
        </w:tc>
        <w:tc>
          <w:tcPr/>
          <w:p>
            <w:pPr>
              <w:pStyle w:val="Compact"/>
              <w:jc w:val="left"/>
            </w:pPr>
            <w:r>
              <w:t xml:space="preserve">10,000.00</w:t>
            </w:r>
          </w:p>
        </w:tc>
      </w:tr>
      <w:tr>
        <w:tc>
          <w:tcPr/>
          <w:p>
            <w:pPr>
              <w:pStyle w:val="Compact"/>
              <w:jc w:val="left"/>
            </w:pPr>
            <w:r>
              <w:t xml:space="preserve">6</w:t>
            </w:r>
          </w:p>
        </w:tc>
        <w:tc>
          <w:tcPr/>
          <w:p>
            <w:pPr>
              <w:pStyle w:val="Compact"/>
              <w:jc w:val="left"/>
            </w:pPr>
            <w:r>
              <w:t xml:space="preserve">Professional indemnity insurance coverage for the Pharmacist (annual policy)</w:t>
            </w:r>
          </w:p>
        </w:tc>
        <w:tc>
          <w:tcPr/>
          <w:p>
            <w:pPr>
              <w:pStyle w:val="Compact"/>
              <w:jc w:val="left"/>
            </w:pPr>
            <w:r>
              <w:t xml:space="preserve">1 year</w:t>
            </w:r>
          </w:p>
        </w:tc>
        <w:tc>
          <w:tcPr/>
          <w:p>
            <w:pPr>
              <w:pStyle w:val="Compact"/>
              <w:jc w:val="left"/>
            </w:pPr>
            <w:r>
              <w:t xml:space="preserve">3,600.00</w:t>
            </w:r>
          </w:p>
        </w:tc>
        <w:tc>
          <w:tcPr/>
          <w:p>
            <w:pPr>
              <w:pStyle w:val="Compact"/>
              <w:jc w:val="left"/>
            </w:pPr>
            <w:r>
              <w:t xml:space="preserve">3,600.00</w:t>
            </w:r>
          </w:p>
        </w:tc>
      </w:tr>
      <w:tr>
        <w:tc>
          <w:tcPr/>
          <w:p>
            <w:pPr>
              <w:pStyle w:val="Compact"/>
              <w:jc w:val="left"/>
            </w:pPr>
            <w:r>
              <w:t xml:space="preserve">7</w:t>
            </w:r>
          </w:p>
        </w:tc>
        <w:tc>
          <w:tcPr/>
          <w:p>
            <w:pPr>
              <w:pStyle w:val="Compact"/>
              <w:jc w:val="left"/>
            </w:pPr>
            <w:r>
              <w:t xml:space="preserve">Administrative overheads, reporting, and compliance documentation</w:t>
            </w:r>
          </w:p>
        </w:tc>
        <w:tc>
          <w:tcPr/>
          <w:p>
            <w:pPr>
              <w:pStyle w:val="Compact"/>
              <w:jc w:val="left"/>
            </w:pPr>
            <w:r>
              <w:t xml:space="preserve">12 months</w:t>
            </w:r>
          </w:p>
        </w:tc>
        <w:tc>
          <w:tcPr/>
          <w:p>
            <w:pPr>
              <w:pStyle w:val="Compact"/>
              <w:jc w:val="left"/>
            </w:pPr>
            <w:r>
              <w:t xml:space="preserve">1,800.00</w:t>
            </w:r>
          </w:p>
        </w:tc>
        <w:tc>
          <w:tcPr/>
          <w:p>
            <w:pPr>
              <w:pStyle w:val="Compact"/>
              <w:jc w:val="left"/>
            </w:pPr>
            <w:r>
              <w:t xml:space="preserve">21,600.00</w:t>
            </w:r>
          </w:p>
        </w:tc>
      </w:tr>
      <w:tr>
        <w:tc>
          <w:tcPr>
            <w:gridSpan w:val="4"/>
          </w:tcPr>
          <w:p>
            <w:pPr>
              <w:pStyle w:val="Compact"/>
              <w:jc w:val="right"/>
            </w:pPr>
            <w:r>
              <w:t xml:space="preserve">Subtotal (GHS)</w:t>
            </w:r>
          </w:p>
        </w:tc>
        <w:tc>
          <w:tcPr/>
          <w:p>
            <w:pPr>
              <w:pStyle w:val="Compact"/>
              <w:jc w:val="left"/>
            </w:pPr>
            <w:r>
              <w:t xml:space="preserve">198,700.00</w:t>
            </w:r>
          </w:p>
        </w:tc>
      </w:tr>
      <w:tr>
        <w:tc>
          <w:tcPr>
            <w:gridSpan w:val="4"/>
          </w:tcPr>
          <w:p>
            <w:pPr>
              <w:pStyle w:val="Compact"/>
              <w:jc w:val="right"/>
            </w:pPr>
            <w:r>
              <w:t xml:space="preserve">VAT @ 15% (Ghana Revenue Authority)</w:t>
            </w:r>
          </w:p>
        </w:tc>
        <w:tc>
          <w:tcPr/>
          <w:p>
            <w:pPr>
              <w:pStyle w:val="Compact"/>
              <w:jc w:val="left"/>
            </w:pPr>
            <w:r>
              <w:t xml:space="preserve">29,805.00</w:t>
            </w:r>
          </w:p>
        </w:tc>
      </w:tr>
      <w:tr>
        <w:tc>
          <w:tcPr>
            <w:gridSpan w:val="4"/>
          </w:tcPr>
          <w:p>
            <w:pPr>
              <w:pStyle w:val="Compact"/>
              <w:jc w:val="right"/>
            </w:pPr>
            <w:r>
              <w:t xml:space="preserve">GRAND TOTAL (GHS)</w:t>
            </w:r>
          </w:p>
        </w:tc>
        <w:tc>
          <w:tcPr/>
          <w:p>
            <w:pPr>
              <w:pStyle w:val="Compact"/>
              <w:jc w:val="left"/>
            </w:pPr>
            <w:r>
              <w:t xml:space="preserve">228,505.00</w:t>
            </w:r>
          </w:p>
        </w:tc>
      </w:tr>
    </w:tbl>
    <w:bookmarkEnd w:id="23"/>
    <w:bookmarkStart w:id="24" w:name="payment-terms"/>
    <w:p>
      <w:pPr>
        <w:pStyle w:val="Heading2"/>
      </w:pPr>
      <w:r>
        <w:t xml:space="preserve">4. Payment Terms</w:t>
      </w:r>
    </w:p>
    <w:p>
      <w:pPr>
        <w:pStyle w:val="FirstParagraph"/>
      </w:pPr>
      <w:r>
        <w:t xml:space="preserve">Payment for this</w:t>
      </w:r>
      <w:r>
        <w:t xml:space="preserve"> </w:t>
      </w:r>
      <w:r>
        <w:t xml:space="preserve">Quotation Estimate</w:t>
      </w:r>
      <w:r>
        <w:t xml:space="preserve"> </w:t>
      </w:r>
      <w:r>
        <w:t xml:space="preserve">shall be made in accordance with the following schedule:</w:t>
      </w:r>
    </w:p>
    <w:p>
      <w:pPr>
        <w:numPr>
          <w:ilvl w:val="0"/>
          <w:numId w:val="1002"/>
        </w:numPr>
        <w:pStyle w:val="Compact"/>
      </w:pPr>
      <w:r>
        <w:rPr>
          <w:bCs/>
          <w:b/>
        </w:rPr>
        <w:t xml:space="preserve">30% advance payment</w:t>
      </w:r>
      <w:r>
        <w:t xml:space="preserve"> </w:t>
      </w:r>
      <w:r>
        <w:t xml:space="preserve">(GHS 68,551.50) upon acceptance of this Quotation Estimate and execution of the service agreement.</w:t>
      </w:r>
    </w:p>
    <w:p>
      <w:pPr>
        <w:numPr>
          <w:ilvl w:val="0"/>
          <w:numId w:val="1002"/>
        </w:numPr>
        <w:pStyle w:val="Compact"/>
      </w:pPr>
      <w:r>
        <w:rPr>
          <w:bCs/>
          <w:b/>
        </w:rPr>
        <w:t xml:space="preserve">Monthly instalments</w:t>
      </w:r>
      <w:r>
        <w:t xml:space="preserve"> </w:t>
      </w:r>
      <w:r>
        <w:t xml:space="preserve">of GHS 15,965.42 for the remaining 11 months, payable by the 5th business day of each month via bank transfer to MediCare Professional Services Ltd., GCB Bank, Accra Branch.</w:t>
      </w:r>
    </w:p>
    <w:p>
      <w:pPr>
        <w:numPr>
          <w:ilvl w:val="0"/>
          <w:numId w:val="1002"/>
        </w:numPr>
        <w:pStyle w:val="Compact"/>
      </w:pPr>
      <w:r>
        <w:t xml:space="preserve">All payments are subject to a 14-day credit period from the date of invoice issuance.</w:t>
      </w:r>
    </w:p>
    <w:p>
      <w:pPr>
        <w:numPr>
          <w:ilvl w:val="0"/>
          <w:numId w:val="1002"/>
        </w:numPr>
        <w:pStyle w:val="Compact"/>
      </w:pPr>
      <w:r>
        <w:t xml:space="preserve">Late payments shall attract a penalty of 2% per month on the outstanding balance, in line with Ghanaian commercial practice.</w:t>
      </w:r>
    </w:p>
    <w:bookmarkEnd w:id="24"/>
    <w:bookmarkStart w:id="25" w:name="terms-and-conditions"/>
    <w:p>
      <w:pPr>
        <w:pStyle w:val="Heading2"/>
      </w:pPr>
      <w:r>
        <w:t xml:space="preserve">5. Terms and Conditions</w:t>
      </w:r>
    </w:p>
    <w:p>
      <w:pPr>
        <w:numPr>
          <w:ilvl w:val="0"/>
          <w:numId w:val="1003"/>
        </w:numPr>
        <w:pStyle w:val="Compact"/>
      </w:pPr>
      <w:r>
        <w:t xml:space="preserve">This</w:t>
      </w:r>
      <w:r>
        <w:t xml:space="preserve"> </w:t>
      </w:r>
      <w:r>
        <w:t xml:space="preserve">Quotation Estimate</w:t>
      </w:r>
      <w:r>
        <w:t xml:space="preserve"> </w:t>
      </w:r>
      <w:r>
        <w:t xml:space="preserve">is valid for thirty (30) calendar days from the date of issue. Beyond this period, prices may be revised to reflect changes in the Ghana Cedi exchange rate or regulatory fee adjustments.</w:t>
      </w:r>
    </w:p>
    <w:p>
      <w:pPr>
        <w:numPr>
          <w:ilvl w:val="0"/>
          <w:numId w:val="1003"/>
        </w:numPr>
        <w:pStyle w:val="Compact"/>
      </w:pPr>
      <w:r>
        <w:t xml:space="preserve">The</w:t>
      </w:r>
      <w:r>
        <w:t xml:space="preserve"> </w:t>
      </w:r>
      <w:r>
        <w:t xml:space="preserve">Pharmacist</w:t>
      </w:r>
      <w:r>
        <w:t xml:space="preserve"> </w:t>
      </w:r>
      <w:r>
        <w:t xml:space="preserve">engaged must hold a valid Practising Certificate issued by the Pharmacy Council of Ghana and must be registered with the Ghana Health Service. Proof of registration shall be provided prior to commencement of duties.</w:t>
      </w:r>
    </w:p>
    <w:p>
      <w:pPr>
        <w:numPr>
          <w:ilvl w:val="0"/>
          <w:numId w:val="1003"/>
        </w:numPr>
        <w:pStyle w:val="Compact"/>
      </w:pPr>
      <w:r>
        <w:t xml:space="preserve">All services shall be rendered within the geographical boundaries of</w:t>
      </w:r>
      <w:r>
        <w:t xml:space="preserve"> </w:t>
      </w:r>
      <w:r>
        <w:t xml:space="preserve">Ghana Accra</w:t>
      </w:r>
      <w:r>
        <w:t xml:space="preserve">, specifically the Greater Accra Region, unless otherwise agreed in writing by both parties.</w:t>
      </w:r>
    </w:p>
    <w:p>
      <w:pPr>
        <w:numPr>
          <w:ilvl w:val="0"/>
          <w:numId w:val="1003"/>
        </w:numPr>
        <w:pStyle w:val="Compact"/>
      </w:pPr>
      <w:r>
        <w:t xml:space="preserve">MediCare Professional Services Ltd. reserves the right to substitute the assigned Pharmacist with an equivalently qualified professional, subject to prior written notification to the client.</w:t>
      </w:r>
    </w:p>
    <w:p>
      <w:pPr>
        <w:numPr>
          <w:ilvl w:val="0"/>
          <w:numId w:val="1003"/>
        </w:numPr>
        <w:pStyle w:val="Compact"/>
      </w:pPr>
      <w:r>
        <w:t xml:space="preserve">Confidentiality of all patient data and operational records is guaranteed under the Data Protection Act, 2012 (Act 843) and the Ghanaian Medical and Dental Practitioners Act, 1994 (Act 494).</w:t>
      </w:r>
    </w:p>
    <w:p>
      <w:pPr>
        <w:numPr>
          <w:ilvl w:val="0"/>
          <w:numId w:val="1003"/>
        </w:numPr>
        <w:pStyle w:val="Compact"/>
      </w:pPr>
      <w:r>
        <w:t xml:space="preserve">Either party may terminate the engagement with thirty (30) days written notice. In the event of early termination, a pro-rata refund of unutilised fees shall be processed within 21 days.</w:t>
      </w:r>
    </w:p>
    <w:p>
      <w:pPr>
        <w:numPr>
          <w:ilvl w:val="0"/>
          <w:numId w:val="1003"/>
        </w:numPr>
        <w:pStyle w:val="Compact"/>
      </w:pPr>
      <w:r>
        <w:t xml:space="preserve">This Quotation Estimate does not constitute a binding contract until countersigned by both parties and accompanied by the advance payment.</w:t>
      </w:r>
    </w:p>
    <w:p>
      <w:pPr>
        <w:numPr>
          <w:ilvl w:val="0"/>
          <w:numId w:val="1003"/>
        </w:numPr>
        <w:pStyle w:val="Compact"/>
      </w:pPr>
      <w:r>
        <w:t xml:space="preserve">Disputes arising from this engagement shall be resolved through mediation in Accra, Ghana, in accordance with the Alternative Dispute Resolution Act, 2010 (Act 798).</w:t>
      </w:r>
    </w:p>
    <w:bookmarkEnd w:id="25"/>
    <w:bookmarkStart w:id="26" w:name="acceptance-and-authorisation"/>
    <w:p>
      <w:pPr>
        <w:pStyle w:val="Heading2"/>
      </w:pPr>
      <w:r>
        <w:t xml:space="preserve">6. Acceptance and Authorisation</w:t>
      </w:r>
    </w:p>
    <w:p>
      <w:pPr>
        <w:pStyle w:val="FirstParagraph"/>
      </w:pPr>
      <w:r>
        <w:t xml:space="preserve">By signing below, the client acknowledges receipt of this</w:t>
      </w:r>
      <w:r>
        <w:t xml:space="preserve"> </w:t>
      </w:r>
      <w:r>
        <w:t xml:space="preserve">Quotation Estimate</w:t>
      </w:r>
      <w:r>
        <w:t xml:space="preserve"> </w:t>
      </w:r>
      <w:r>
        <w:t xml:space="preserve">and agrees to the terms outlined for the provision of</w:t>
      </w:r>
      <w:r>
        <w:t xml:space="preserve"> </w:t>
      </w:r>
      <w:r>
        <w:t xml:space="preserve">Pharmacist</w:t>
      </w:r>
      <w:r>
        <w:t xml:space="preserve"> </w:t>
      </w:r>
      <w:r>
        <w:t xml:space="preserve">services in</w:t>
      </w:r>
      <w:r>
        <w:t xml:space="preserve"> </w:t>
      </w:r>
      <w:r>
        <w:t xml:space="preserve">Ghana Accra</w:t>
      </w:r>
      <w:r>
        <w:t xml:space="preserve">.</w:t>
      </w:r>
    </w:p>
    <w:p>
      <w:pPr>
        <w:pStyle w:val="BodyText"/>
      </w:pPr>
      <w:r>
        <w:rPr>
          <w:bCs/>
          <w:b/>
        </w:rPr>
        <w:t xml:space="preserve">For and on behalf of</w:t>
      </w:r>
      <w:r>
        <w:br/>
      </w:r>
      <w:r>
        <w:t xml:space="preserve">MediCare Professional Services Ltd.</w:t>
      </w:r>
    </w:p>
    <w:p>
      <w:pPr>
        <w:pStyle w:val="BodyText"/>
      </w:pPr>
      <w:r>
        <w:t xml:space="preserve">Name: Dr. Efua Mensah</w:t>
      </w:r>
      <w:r>
        <w:br/>
      </w:r>
      <w:r>
        <w:t xml:space="preserve">Title: Managing Director</w:t>
      </w:r>
      <w:r>
        <w:br/>
      </w:r>
      <w:r>
        <w:t xml:space="preserve">Signature &amp; Date: _________________________</w:t>
      </w:r>
    </w:p>
    <w:p>
      <w:pPr>
        <w:pStyle w:val="BodyText"/>
      </w:pPr>
      <w:r>
        <w:rPr>
          <w:bCs/>
          <w:b/>
        </w:rPr>
        <w:t xml:space="preserve">For and on behalf of</w:t>
      </w:r>
      <w:r>
        <w:br/>
      </w:r>
      <w:r>
        <w:t xml:space="preserve">Accra Regional Health Directorate</w:t>
      </w:r>
    </w:p>
    <w:p>
      <w:pPr>
        <w:pStyle w:val="BodyText"/>
      </w:pPr>
      <w:r>
        <w:t xml:space="preserve">Name: Dr. Kwame Asante</w:t>
      </w:r>
      <w:r>
        <w:br/>
      </w:r>
      <w:r>
        <w:t xml:space="preserve">Title: Director, Human Resources</w:t>
      </w:r>
      <w:r>
        <w:br/>
      </w:r>
      <w:r>
        <w:t xml:space="preserve">Signature &amp; Date: _________________________</w:t>
      </w:r>
    </w:p>
    <w:p>
      <w:pPr>
        <w:pStyle w:val="BodyText"/>
      </w:pPr>
      <w:r>
        <w:rPr>
          <w:bCs/>
          <w:b/>
        </w:rPr>
        <w:t xml:space="preserve">Note:</w:t>
      </w:r>
      <w:r>
        <w:t xml:space="preserve"> </w:t>
      </w:r>
      <w:r>
        <w:t xml:space="preserve">This Quotation Estimate has been prepared specifically for the Accra Regional Health Directorate and is non-transferable. All figures are quoted in Ghana Cedi (GHS) and are inclusive of applicable local taxes unless otherwise stated. For clarification or amendments, please contact our quotations desk at +233 302 445 678 or quotations@medicaregh.com. We look forward to supporting your pharmaceutical operations in Ghana Accra with the highest standard of professional Pharmacist care.</w:t>
      </w:r>
    </w:p>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Pharmacist Services - Ghana Accra</dc:title>
  <dc:creator/>
  <dc:language>en</dc:language>
  <cp:keywords/>
  <dcterms:created xsi:type="dcterms:W3CDTF">2026-10-10T01:55:32Z</dcterms:created>
  <dcterms:modified xsi:type="dcterms:W3CDTF">2026-10-10T01:55:32Z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