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quotation-estimate"/>
    <w:p>
      <w:pPr>
        <w:pStyle w:val="Heading1"/>
      </w:pPr>
      <w:r>
        <w:t xml:space="preserve">Quotation Estimate</w:t>
      </w:r>
    </w:p>
    <w:p>
      <w:pPr>
        <w:pStyle w:val="FirstParagraph"/>
      </w:pPr>
      <w:r>
        <w:t xml:space="preserve">Professional Pharmacist Services &amp; Consultation</w:t>
      </w:r>
    </w:p>
    <w:p>
      <w:pPr>
        <w:pStyle w:val="BodyText"/>
      </w:pPr>
      <w:r>
        <w:t xml:space="preserve">MediPharm Solutions Indonesia, Jakarta</w:t>
      </w:r>
    </w:p>
    <w:p>
      <w:pPr>
        <w:pStyle w:val="BodyText"/>
      </w:pPr>
      <w:r>
        <w:t xml:space="preserve">Jl. Jend. Sudirman Kav. 52-53, SCBD Lot 2, Jakarta Selatan 12190, Indonesia</w:t>
      </w:r>
    </w:p>
    <w:p>
      <w:pPr>
        <w:pStyle w:val="BodyText"/>
      </w:pPr>
      <w:r>
        <w:t xml:space="preserve">Tel: +62-21-5790-1234 | Email: quotation@medipharm-jakarta.co.id</w:t>
      </w:r>
    </w:p>
    <w:bookmarkEnd w:id="20"/>
    <w:tbl>
      <w:tblPr>
        <w:tblStyle w:val="Table"/>
        <w:tblW w:type="pct" w:w="500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QTE-JKT-2025-04871</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days from date of issue)</w:t>
            </w:r>
          </w:p>
        </w:tc>
      </w:tr>
      <w:tr>
        <w:tc>
          <w:tcPr/>
          <w:p>
            <w:pPr>
              <w:pStyle w:val="Compact"/>
              <w:jc w:val="left"/>
            </w:pPr>
            <w:r>
              <w:t xml:space="preserve">Prepared For</w:t>
            </w:r>
          </w:p>
        </w:tc>
        <w:tc>
          <w:tcPr/>
          <w:p>
            <w:pPr>
              <w:pStyle w:val="Compact"/>
              <w:jc w:val="left"/>
            </w:pPr>
            <w:r>
              <w:t xml:space="preserve">PT Sehat Nusantara Healthcare Group</w:t>
            </w:r>
            <w:r>
              <w:br/>
            </w:r>
            <w:r>
              <w:t xml:space="preserve">Jl. Gatot Subroto No. 88, Jakarta Pusat 10270, Indonesia</w:t>
            </w:r>
          </w:p>
        </w:tc>
      </w:tr>
      <w:tr>
        <w:tc>
          <w:tcPr/>
          <w:p>
            <w:pPr>
              <w:pStyle w:val="Compact"/>
              <w:jc w:val="left"/>
            </w:pPr>
            <w:r>
              <w:t xml:space="preserve">Prepared By</w:t>
            </w:r>
          </w:p>
        </w:tc>
        <w:tc>
          <w:tcPr/>
          <w:p>
            <w:pPr>
              <w:pStyle w:val="Compact"/>
              <w:jc w:val="left"/>
            </w:pPr>
            <w:r>
              <w:t xml:space="preserve">MediPharm Solutions Indonesia</w:t>
            </w:r>
            <w:r>
              <w:br/>
            </w:r>
            <w:r>
              <w:t xml:space="preserve">Attn: Dr. Sari Wulandari, Pharm.D – Head of Pharmacist Deployment</w:t>
            </w:r>
          </w:p>
        </w:tc>
      </w:tr>
      <w:tr>
        <w:tc>
          <w:tcPr/>
          <w:p>
            <w:pPr>
              <w:pStyle w:val="Compact"/>
              <w:jc w:val="left"/>
            </w:pPr>
            <w:r>
              <w:t xml:space="preserve">Service Location</w:t>
            </w:r>
          </w:p>
        </w:tc>
        <w:tc>
          <w:tcPr/>
          <w:p>
            <w:pPr>
              <w:pStyle w:val="Compact"/>
              <w:jc w:val="left"/>
            </w:pPr>
            <w:r>
              <w:t xml:space="preserve">Indonesia Jakarta – All designated healthcare facilities within Greater Jakarta (DKI Jakarta)</w:t>
            </w:r>
          </w:p>
        </w:tc>
      </w:tr>
    </w:tbl>
    <w:p>
      <w:pPr>
        <w:pStyle w:val="BodyText"/>
      </w:pPr>
      <w:r>
        <w:t xml:space="preserve">1. Scope of Quotation Estimate</w:t>
      </w:r>
    </w:p>
    <w:p>
      <w:pPr>
        <w:pStyle w:val="BodyText"/>
      </w:pPr>
      <w:r>
        <w:t xml:space="preserve">This</w:t>
      </w:r>
      <w:r>
        <w:t xml:space="preserve"> </w:t>
      </w:r>
      <w:r>
        <w:t xml:space="preserve">Quotation Estimate</w:t>
      </w:r>
      <w:r>
        <w:t xml:space="preserve"> </w:t>
      </w:r>
      <w:r>
        <w:t xml:space="preserve">is issued by MediPharm Solutions Indonesia to provide a comprehensive and transparent cost breakdown for the recruitment, deployment, and ongoing professional services of a licensed</w:t>
      </w:r>
      <w:r>
        <w:t xml:space="preserve"> </w:t>
      </w:r>
      <w:r>
        <w:t xml:space="preserve">Pharmacist</w:t>
      </w:r>
      <w:r>
        <w:t xml:space="preserve"> </w:t>
      </w:r>
      <w:r>
        <w:t xml:space="preserve">within the Indonesia Jakarta metropolitan area. The scope encompasses all administrative, regulatory, clinical, and operational requirements necessary to ensure that the Pharmacist operates in full compliance with the Indonesian Ministry of Health (Kementerian Kesehatan RI) regulations, the Indonesian Pharmacists Association (Ikatan Apoteker Indonesia – IAI), and all applicable local ordinances governing pharmaceutical practice in DKI Jakarta.</w:t>
      </w:r>
    </w:p>
    <w:p>
      <w:pPr>
        <w:pStyle w:val="BodyText"/>
      </w:pPr>
      <w:r>
        <w:t xml:space="preserve">The Pharmacist services outlined in this Quotation Estimate are designed to support PT Sehat Nusantara Healthcare Group's outpatient pharmacy operations, inpatient medication management, clinical drug information services, and patient counselling programmes across their three (3) facility locations in Indonesia Jakarta. All services will be delivered by a Pharmacist holding a valid Surat Izin Praktik Apoteker (SIPA) and a current registration with the IAI, ensuring the highest standard of pharmaceutical care in the Indonesia Jakarta region.</w:t>
      </w:r>
    </w:p>
    <w:p>
      <w:pPr>
        <w:pStyle w:val="BodyText"/>
      </w:pPr>
      <w:r>
        <w:t xml:space="preserve">2.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Pharmacist Service</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Unit Price (IDR)</w:t>
            </w:r>
          </w:p>
        </w:tc>
        <w:tc>
          <w:tcPr/>
          <w:p>
            <w:pPr>
              <w:pStyle w:val="Compact"/>
              <w:jc w:val="left"/>
            </w:pPr>
            <w:r>
              <w:t xml:space="preserve">Subtotal (IDR)</w:t>
            </w:r>
          </w:p>
        </w:tc>
      </w:tr>
      <w:tr>
        <w:tc>
          <w:tcPr/>
          <w:p>
            <w:pPr>
              <w:pStyle w:val="Compact"/>
              <w:jc w:val="left"/>
            </w:pPr>
            <w:r>
              <w:t xml:space="preserve">1</w:t>
            </w:r>
          </w:p>
        </w:tc>
        <w:tc>
          <w:tcPr/>
          <w:p>
            <w:pPr>
              <w:pStyle w:val="Compact"/>
              <w:jc w:val="left"/>
            </w:pPr>
            <w:r>
              <w:t xml:space="preserve">Recruitment, vetting, and onboarding of a fully licensed Pharmacist with minimum 5 years of clinical experience in Indonesia Jakarta</w:t>
            </w:r>
          </w:p>
        </w:tc>
        <w:tc>
          <w:tcPr/>
          <w:p>
            <w:pPr>
              <w:pStyle w:val="Compact"/>
              <w:jc w:val="left"/>
            </w:pPr>
            <w:r>
              <w:t xml:space="preserve">One-time</w:t>
            </w:r>
          </w:p>
        </w:tc>
        <w:tc>
          <w:tcPr/>
          <w:p>
            <w:pPr>
              <w:pStyle w:val="Compact"/>
              <w:jc w:val="left"/>
            </w:pPr>
            <w:r>
              <w:t xml:space="preserve">1 position</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2</w:t>
            </w:r>
          </w:p>
        </w:tc>
        <w:tc>
          <w:tcPr/>
          <w:p>
            <w:pPr>
              <w:pStyle w:val="Compact"/>
              <w:jc w:val="left"/>
            </w:pPr>
            <w:r>
              <w:t xml:space="preserve">Monthly professional fee for the Pharmacist including clinical dispensing, medication therapy management, and patient counselling at all three Jakarta facilities</w:t>
            </w:r>
          </w:p>
        </w:tc>
        <w:tc>
          <w:tcPr/>
          <w:p>
            <w:pPr>
              <w:pStyle w:val="Compact"/>
              <w:jc w:val="left"/>
            </w:pPr>
            <w:r>
              <w:t xml:space="preserve">12 months</w:t>
            </w:r>
          </w:p>
        </w:tc>
        <w:tc>
          <w:tcPr/>
          <w:p>
            <w:pPr>
              <w:pStyle w:val="Compact"/>
              <w:jc w:val="left"/>
            </w:pPr>
            <w:r>
              <w:t xml:space="preserve">12 months</w:t>
            </w:r>
          </w:p>
        </w:tc>
        <w:tc>
          <w:tcPr/>
          <w:p>
            <w:pPr>
              <w:pStyle w:val="Compact"/>
              <w:jc w:val="left"/>
            </w:pPr>
            <w:r>
              <w:t xml:space="preserve">28,000,000</w:t>
            </w:r>
          </w:p>
        </w:tc>
        <w:tc>
          <w:tcPr/>
          <w:p>
            <w:pPr>
              <w:pStyle w:val="Compact"/>
              <w:jc w:val="left"/>
            </w:pPr>
            <w:r>
              <w:t xml:space="preserve">336,000,000</w:t>
            </w:r>
          </w:p>
        </w:tc>
      </w:tr>
      <w:tr>
        <w:tc>
          <w:tcPr/>
          <w:p>
            <w:pPr>
              <w:pStyle w:val="Compact"/>
              <w:jc w:val="left"/>
            </w:pPr>
            <w:r>
              <w:t xml:space="preserve">3</w:t>
            </w:r>
          </w:p>
        </w:tc>
        <w:tc>
          <w:tcPr/>
          <w:p>
            <w:pPr>
              <w:pStyle w:val="Compact"/>
              <w:jc w:val="left"/>
            </w:pPr>
            <w:r>
              <w:t xml:space="preserve">Regulatory compliance management: SIPA renewal, IAI membership fees, and annual competency assessment for the Pharmacist in Indonesia Jakarta</w:t>
            </w:r>
          </w:p>
        </w:tc>
        <w:tc>
          <w:tcPr/>
          <w:p>
            <w:pPr>
              <w:pStyle w:val="Compact"/>
              <w:jc w:val="left"/>
            </w:pPr>
            <w:r>
              <w:t xml:space="preserve">12 months</w:t>
            </w:r>
          </w:p>
        </w:tc>
        <w:tc>
          <w:tcPr/>
          <w:p>
            <w:pPr>
              <w:pStyle w:val="Compact"/>
              <w:jc w:val="left"/>
            </w:pPr>
            <w:r>
              <w:t xml:space="preserve">12 months</w:t>
            </w:r>
          </w:p>
        </w:tc>
        <w:tc>
          <w:tcPr/>
          <w:p>
            <w:pPr>
              <w:pStyle w:val="Compact"/>
              <w:jc w:val="left"/>
            </w:pPr>
            <w:r>
              <w:t xml:space="preserve">3,500,000</w:t>
            </w:r>
          </w:p>
        </w:tc>
        <w:tc>
          <w:tcPr/>
          <w:p>
            <w:pPr>
              <w:pStyle w:val="Compact"/>
              <w:jc w:val="left"/>
            </w:pPr>
            <w:r>
              <w:t xml:space="preserve">42,000,000</w:t>
            </w:r>
          </w:p>
        </w:tc>
      </w:tr>
      <w:tr>
        <w:tc>
          <w:tcPr/>
          <w:p>
            <w:pPr>
              <w:pStyle w:val="Compact"/>
              <w:jc w:val="left"/>
            </w:pPr>
            <w:r>
              <w:t xml:space="preserve">4</w:t>
            </w:r>
          </w:p>
        </w:tc>
        <w:tc>
          <w:tcPr/>
          <w:p>
            <w:pPr>
              <w:pStyle w:val="Compact"/>
              <w:jc w:val="left"/>
            </w:pPr>
            <w:r>
              <w:t xml:space="preserve">Clinical pharmacy software licensing and integration (e-prescription, inventory management, drug interaction database) for the Pharmacist workstation</w:t>
            </w:r>
          </w:p>
        </w:tc>
        <w:tc>
          <w:tcPr/>
          <w:p>
            <w:pPr>
              <w:pStyle w:val="Compact"/>
              <w:jc w:val="left"/>
            </w:pPr>
            <w:r>
              <w:t xml:space="preserve">12 months</w:t>
            </w:r>
          </w:p>
        </w:tc>
        <w:tc>
          <w:tcPr/>
          <w:p>
            <w:pPr>
              <w:pStyle w:val="Compact"/>
              <w:jc w:val="left"/>
            </w:pPr>
            <w:r>
              <w:t xml:space="preserve">12 months</w:t>
            </w:r>
          </w:p>
        </w:tc>
        <w:tc>
          <w:tcPr/>
          <w:p>
            <w:pPr>
              <w:pStyle w:val="Compact"/>
              <w:jc w:val="left"/>
            </w:pPr>
            <w:r>
              <w:t xml:space="preserve">8,200,000</w:t>
            </w:r>
          </w:p>
        </w:tc>
        <w:tc>
          <w:tcPr/>
          <w:p>
            <w:pPr>
              <w:pStyle w:val="Compact"/>
              <w:jc w:val="left"/>
            </w:pPr>
            <w:r>
              <w:t xml:space="preserve">98,400,000</w:t>
            </w:r>
          </w:p>
        </w:tc>
      </w:tr>
      <w:tr>
        <w:tc>
          <w:tcPr/>
          <w:p>
            <w:pPr>
              <w:pStyle w:val="Compact"/>
              <w:jc w:val="left"/>
            </w:pPr>
            <w:r>
              <w:t xml:space="preserve">5</w:t>
            </w:r>
          </w:p>
        </w:tc>
        <w:tc>
          <w:tcPr/>
          <w:p>
            <w:pPr>
              <w:pStyle w:val="Compact"/>
              <w:jc w:val="left"/>
            </w:pPr>
            <w:r>
              <w:t xml:space="preserve">Continuing Professional Development (CPD) programme for the Pharmacist: 4 accredited workshops per year in Indonesia Jakarta (pharmacovigilance, oncology pharmacy, antimicrobial stewardship, and community pharmacy practice)</w:t>
            </w:r>
          </w:p>
        </w:tc>
        <w:tc>
          <w:tcPr/>
          <w:p>
            <w:pPr>
              <w:pStyle w:val="Compact"/>
              <w:jc w:val="left"/>
            </w:pPr>
            <w:r>
              <w:t xml:space="preserve">12 months</w:t>
            </w:r>
          </w:p>
        </w:tc>
        <w:tc>
          <w:tcPr/>
          <w:p>
            <w:pPr>
              <w:pStyle w:val="Compact"/>
              <w:jc w:val="left"/>
            </w:pPr>
            <w:r>
              <w:t xml:space="preserve">12 months</w:t>
            </w:r>
          </w:p>
        </w:tc>
        <w:tc>
          <w:tcPr/>
          <w:p>
            <w:pPr>
              <w:pStyle w:val="Compact"/>
              <w:jc w:val="left"/>
            </w:pPr>
            <w:r>
              <w:t xml:space="preserve">6,000,000</w:t>
            </w:r>
          </w:p>
        </w:tc>
        <w:tc>
          <w:tcPr/>
          <w:p>
            <w:pPr>
              <w:pStyle w:val="Compact"/>
              <w:jc w:val="left"/>
            </w:pPr>
            <w:r>
              <w:t xml:space="preserve">72,000,000</w:t>
            </w:r>
          </w:p>
        </w:tc>
      </w:tr>
      <w:tr>
        <w:tc>
          <w:tcPr/>
          <w:p>
            <w:pPr>
              <w:pStyle w:val="Compact"/>
              <w:jc w:val="left"/>
            </w:pPr>
            <w:r>
              <w:t xml:space="preserve">6</w:t>
            </w:r>
          </w:p>
        </w:tc>
        <w:tc>
          <w:tcPr/>
          <w:p>
            <w:pPr>
              <w:pStyle w:val="Compact"/>
              <w:jc w:val="left"/>
            </w:pPr>
            <w:r>
              <w:t xml:space="preserve">Monthly on-site supervision and quality assurance audit by a Senior Pharmacist Consultant from MediPharm Solutions Indonesia</w:t>
            </w:r>
          </w:p>
        </w:tc>
        <w:tc>
          <w:tcPr/>
          <w:p>
            <w:pPr>
              <w:pStyle w:val="Compact"/>
              <w:jc w:val="left"/>
            </w:pPr>
            <w:r>
              <w:t xml:space="preserve">12 months</w:t>
            </w:r>
          </w:p>
        </w:tc>
        <w:tc>
          <w:tcPr/>
          <w:p>
            <w:pPr>
              <w:pStyle w:val="Compact"/>
              <w:jc w:val="left"/>
            </w:pPr>
            <w:r>
              <w:t xml:space="preserve">12 months</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7</w:t>
            </w:r>
          </w:p>
        </w:tc>
        <w:tc>
          <w:tcPr/>
          <w:p>
            <w:pPr>
              <w:pStyle w:val="Compact"/>
              <w:jc w:val="left"/>
            </w:pPr>
            <w:r>
              <w:t xml:space="preserve">Emergency Pharmacist coverage and on-call rotation (24/7 standby for critical medication queries at Indonesia Jakarta facilities)</w:t>
            </w:r>
          </w:p>
        </w:tc>
        <w:tc>
          <w:tcPr/>
          <w:p>
            <w:pPr>
              <w:pStyle w:val="Compact"/>
              <w:jc w:val="left"/>
            </w:pPr>
            <w:r>
              <w:t xml:space="preserve">12 months</w:t>
            </w:r>
          </w:p>
        </w:tc>
        <w:tc>
          <w:tcPr/>
          <w:p>
            <w:pPr>
              <w:pStyle w:val="Compact"/>
              <w:jc w:val="left"/>
            </w:pPr>
            <w:r>
              <w:t xml:space="preserve">12 months</w:t>
            </w:r>
          </w:p>
        </w:tc>
        <w:tc>
          <w:tcPr/>
          <w:p>
            <w:pPr>
              <w:pStyle w:val="Compact"/>
              <w:jc w:val="left"/>
            </w:pPr>
            <w:r>
              <w:t xml:space="preserve">5,800,000</w:t>
            </w:r>
          </w:p>
        </w:tc>
        <w:tc>
          <w:tcPr/>
          <w:p>
            <w:pPr>
              <w:pStyle w:val="Compact"/>
              <w:jc w:val="left"/>
            </w:pPr>
            <w:r>
              <w:t xml:space="preserve">69,600,000</w:t>
            </w:r>
          </w:p>
        </w:tc>
      </w:tr>
      <w:tr>
        <w:tc>
          <w:tcPr/>
          <w:p>
            <w:pPr>
              <w:pStyle w:val="Compact"/>
              <w:jc w:val="left"/>
            </w:pPr>
            <w:r>
              <w:t xml:space="preserve">8</w:t>
            </w:r>
          </w:p>
        </w:tc>
        <w:tc>
          <w:tcPr/>
          <w:p>
            <w:pPr>
              <w:pStyle w:val="Compact"/>
              <w:jc w:val="left"/>
            </w:pPr>
            <w:r>
              <w:t xml:space="preserve">Administrative support: payroll processing, BPJS Kesehatan integration, tax filing (PPh 21), and social security (BPJS Ketenagakerjaan) for the Pharmacist</w:t>
            </w:r>
          </w:p>
        </w:tc>
        <w:tc>
          <w:tcPr/>
          <w:p>
            <w:pPr>
              <w:pStyle w:val="Compact"/>
              <w:jc w:val="left"/>
            </w:pPr>
            <w:r>
              <w:t xml:space="preserve">12 months</w:t>
            </w:r>
          </w:p>
        </w:tc>
        <w:tc>
          <w:tcPr/>
          <w:p>
            <w:pPr>
              <w:pStyle w:val="Compact"/>
              <w:jc w:val="left"/>
            </w:pPr>
            <w:r>
              <w:t xml:space="preserve">12 months</w:t>
            </w:r>
          </w:p>
        </w:tc>
        <w:tc>
          <w:tcPr/>
          <w:p>
            <w:pPr>
              <w:pStyle w:val="Compact"/>
              <w:jc w:val="left"/>
            </w:pPr>
            <w:r>
              <w:t xml:space="preserve">2,200,000</w:t>
            </w:r>
          </w:p>
        </w:tc>
        <w:tc>
          <w:tcPr/>
          <w:p>
            <w:pPr>
              <w:pStyle w:val="Compact"/>
              <w:jc w:val="left"/>
            </w:pPr>
            <w:r>
              <w:t xml:space="preserve">26,400,000</w:t>
            </w:r>
          </w:p>
        </w:tc>
      </w:tr>
      <w:tr>
        <w:tc>
          <w:tcPr>
            <w:gridSpan w:val="5"/>
          </w:tcPr>
          <w:p>
            <w:pPr>
              <w:pStyle w:val="Compact"/>
              <w:jc w:val="right"/>
            </w:pPr>
            <w:r>
              <w:t xml:space="preserve">Subtotal (IDR)</w:t>
            </w:r>
          </w:p>
        </w:tc>
        <w:tc>
          <w:tcPr/>
          <w:p>
            <w:pPr>
              <w:pStyle w:val="Compact"/>
              <w:jc w:val="left"/>
            </w:pPr>
            <w:r>
              <w:t xml:space="preserve">710,900,000</w:t>
            </w:r>
          </w:p>
        </w:tc>
      </w:tr>
      <w:tr>
        <w:tc>
          <w:tcPr>
            <w:gridSpan w:val="5"/>
          </w:tcPr>
          <w:p>
            <w:pPr>
              <w:pStyle w:val="Compact"/>
              <w:jc w:val="right"/>
            </w:pPr>
            <w:r>
              <w:t xml:space="preserve">VAT (PPN) 11%</w:t>
            </w:r>
          </w:p>
        </w:tc>
        <w:tc>
          <w:tcPr/>
          <w:p>
            <w:pPr>
              <w:pStyle w:val="Compact"/>
              <w:jc w:val="left"/>
            </w:pPr>
            <w:r>
              <w:t xml:space="preserve">78,199,000</w:t>
            </w:r>
          </w:p>
        </w:tc>
      </w:tr>
      <w:tr>
        <w:tc>
          <w:tcPr>
            <w:gridSpan w:val="5"/>
          </w:tcPr>
          <w:p>
            <w:pPr>
              <w:pStyle w:val="Compact"/>
              <w:jc w:val="right"/>
            </w:pPr>
            <w:r>
              <w:t xml:space="preserve">TOTAL QUOTATION ESTIMATE (IDR)</w:t>
            </w:r>
          </w:p>
        </w:tc>
        <w:tc>
          <w:tcPr/>
          <w:p>
            <w:pPr>
              <w:pStyle w:val="Compact"/>
              <w:jc w:val="left"/>
            </w:pPr>
            <w:r>
              <w:t xml:space="preserve">789,099,000</w:t>
            </w:r>
          </w:p>
        </w:tc>
      </w:tr>
    </w:tbl>
    <w:p>
      <w:pPr>
        <w:pStyle w:val="BodyText"/>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Any acceptance beyond this period may be subject to revised pricing due to fluctuations in the Indonesia Jakarta pharmaceutical labour market.</w:t>
      </w:r>
    </w:p>
    <w:p>
      <w:pPr>
        <w:numPr>
          <w:ilvl w:val="0"/>
          <w:numId w:val="1001"/>
        </w:numPr>
        <w:pStyle w:val="Compact"/>
      </w:pPr>
      <w:r>
        <w:t xml:space="preserve">All prices stated in this Quotation Estimate are denominated in Indonesian Rupiah (IDR) and are inclusive of all applicable local levies in DKI Jakarta unless otherwise noted. The 11% Value Added Tax (Pajak Pertambahan Nilai – PPN) is itemised separately.</w:t>
      </w:r>
    </w:p>
    <w:p>
      <w:pPr>
        <w:numPr>
          <w:ilvl w:val="0"/>
          <w:numId w:val="1001"/>
        </w:numPr>
        <w:pStyle w:val="Compact"/>
      </w:pPr>
      <w:r>
        <w:t xml:space="preserve">The Pharmacist deployed under this agreement shall be bound by a minimum twelve (12) month service contract. Early termination by either party prior to the completion of the contract term shall incur a penalty equivalent to three (3) months of the Pharmacist's professional fee.</w:t>
      </w:r>
    </w:p>
    <w:p>
      <w:pPr>
        <w:numPr>
          <w:ilvl w:val="0"/>
          <w:numId w:val="1001"/>
        </w:numPr>
        <w:pStyle w:val="Compact"/>
      </w:pPr>
      <w:r>
        <w:t xml:space="preserve">MediPharm Solutions Indonesia guarantees that the Pharmacist will hold a valid and current SIPA, IAI membership, and all necessary certifications required by the Indonesia Jakarta health authority (Dinas Kesehatan DKI Jakarta) for the entire duration of the engagement.</w:t>
      </w:r>
    </w:p>
    <w:p>
      <w:pPr>
        <w:numPr>
          <w:ilvl w:val="0"/>
          <w:numId w:val="1001"/>
        </w:numPr>
        <w:pStyle w:val="Compact"/>
      </w:pPr>
      <w:r>
        <w:t xml:space="preserve">Payment terms: 30% advance payment upon acceptance of this Quotation Estimate, 40% upon successful onboarding and first month of service delivery, and 30% upon completion of the twelfth month. All payments shall be made via bank transfer to the account specified in the attached invoice.</w:t>
      </w:r>
    </w:p>
    <w:p>
      <w:pPr>
        <w:numPr>
          <w:ilvl w:val="0"/>
          <w:numId w:val="1001"/>
        </w:numPr>
        <w:pStyle w:val="Compact"/>
      </w:pPr>
      <w:r>
        <w:t xml:space="preserve">Any changes to the scope of Pharmacist services, additional facility locations within Indonesia Jakarta, or modifications to the clinical service model must be documented in a formal Change Order signed by both parties before implementation.</w:t>
      </w:r>
    </w:p>
    <w:p>
      <w:pPr>
        <w:numPr>
          <w:ilvl w:val="0"/>
          <w:numId w:val="1001"/>
        </w:numPr>
        <w:pStyle w:val="Compact"/>
      </w:pPr>
      <w:r>
        <w:t xml:space="preserve">This Quotation Estimate does not constitute a binding contract. A separate Service Level Agreement (SLA) and Master Service Agreement (MSA) will be executed upon mutual acceptance of the terms herein.</w:t>
      </w:r>
    </w:p>
    <w:p>
      <w:pPr>
        <w:numPr>
          <w:ilvl w:val="0"/>
          <w:numId w:val="1001"/>
        </w:numPr>
        <w:pStyle w:val="Compact"/>
      </w:pPr>
      <w:r>
        <w:t xml:space="preserve">All personal data of the Pharmacist and patient information handled under this engagement shall be processed in strict accordance with Indonesia's Personal Data Protection Law (UU No. 27 Tahun 2022) and the healthcare confidentiality standards of the Indonesia Jakarta medical community.</w:t>
      </w:r>
    </w:p>
    <w:p>
      <w:pPr>
        <w:numPr>
          <w:ilvl w:val="0"/>
          <w:numId w:val="1001"/>
        </w:numPr>
        <w:pStyle w:val="Compact"/>
      </w:pPr>
      <w:r>
        <w:t xml:space="preserve">Disputes arising from this Quotation Estimate or the subsequent service agreement shall be resolved through mediation in Indonesia Jakarta, and if unresolved, through the competent courts of the Jakarta Central District Court (Pengadilan Negeri Jakarta Pusat).</w:t>
      </w:r>
    </w:p>
    <w:p>
      <w:pPr>
        <w:pStyle w:val="FirstParagraph"/>
      </w:pPr>
      <w:r>
        <w:t xml:space="preserve">4. Acceptance and Authorisation</w:t>
      </w:r>
    </w:p>
    <w:p>
      <w:pPr>
        <w:pStyle w:val="BodyText"/>
      </w:pPr>
      <w:r>
        <w:t xml:space="preserve">By signing below, the client acknowledges receipt of this</w:t>
      </w:r>
      <w:r>
        <w:t xml:space="preserve"> </w:t>
      </w:r>
      <w:r>
        <w:t xml:space="preserve">Quotation Estimate</w:t>
      </w:r>
      <w:r>
        <w:t xml:space="preserve"> </w:t>
      </w:r>
      <w:r>
        <w:t xml:space="preserve">for Pharmacist services in Indonesia Jakarta and agrees to the terms and conditions outlined herein. This document serves as the formal basis for the subsequent execution of the Master Service Agreement between MediPharm Solutions Indonesia and PT Sehat Nusantara Healthcare Group.</w:t>
      </w:r>
    </w:p>
    <w:p>
      <w:pPr>
        <w:pStyle w:val="BodyText"/>
      </w:pPr>
      <w:r>
        <w:rPr>
          <w:bCs/>
          <w:b/>
        </w:rPr>
        <w:t xml:space="preserve">For MediPharm Solutions Indonesia</w:t>
      </w:r>
      <w:r>
        <w:br/>
      </w:r>
      <w:r>
        <w:t xml:space="preserve">Dr. Sari Wulandari, Pharm.D</w:t>
      </w:r>
      <w:r>
        <w:br/>
      </w:r>
      <w:r>
        <w:t xml:space="preserve">Head of Pharmacist Deployment</w:t>
      </w:r>
      <w:r>
        <w:br/>
      </w:r>
      <w:r>
        <w:t xml:space="preserve">Date: _______________</w:t>
      </w:r>
    </w:p>
    <w:p>
      <w:pPr>
        <w:pStyle w:val="BodyText"/>
      </w:pPr>
      <w:r>
        <w:rPr>
          <w:bCs/>
          <w:b/>
        </w:rPr>
        <w:t xml:space="preserve">For PT Sehat Nusantara Healthcare Group</w:t>
      </w:r>
      <w:r>
        <w:br/>
      </w:r>
      <w:r>
        <w:t xml:space="preserve">Authorised Signatory</w:t>
      </w:r>
      <w:r>
        <w:br/>
      </w:r>
      <w:r>
        <w:t xml:space="preserve">Name: _______________</w:t>
      </w:r>
      <w:r>
        <w:br/>
      </w:r>
      <w:r>
        <w:t xml:space="preserve">Date: _______________</w:t>
      </w:r>
    </w:p>
    <w:p>
      <w:pPr>
        <w:pStyle w:val="BodyText"/>
      </w:pPr>
      <w:r>
        <w:t xml:space="preserve">MediPharm Solutions Indonesia | Quotation Estimate QTE-JKT-2025-04871 | Pharmacist Services – Indonesia Jakarta</w:t>
      </w:r>
    </w:p>
    <w:p>
      <w:pPr>
        <w:pStyle w:val="BodyText"/>
      </w:pPr>
      <w:r>
        <w:t xml:space="preserve">This document is confidential and intended solely for the named recipient. Unauthorised reproduction or distribution is prohibited.</w:t>
      </w:r>
    </w:p>
    <w:p>
      <w:pPr>
        <w:pStyle w:val="BodyText"/>
      </w:pPr>
      <w:r>
        <w:t xml:space="preserve">© 2025 MediPharm Solutions Indonesia. All rights reserved. NPWP: 01.234.567.8-011.000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Pharmacist Services - Indonesia Jakarta</dc:title>
  <dc:creator/>
  <dc:language>en</dc:language>
  <cp:keywords/>
  <dcterms:created xsi:type="dcterms:W3CDTF">2026-10-10T04:07:25Z</dcterms:created>
  <dcterms:modified xsi:type="dcterms:W3CDTF">2026-10-10T04:07:25Z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