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X9ee2560e042a2d4c12329269af8cfa4644ba989"/>
    <w:p>
      <w:pPr>
        <w:pStyle w:val="Heading1"/>
      </w:pPr>
      <w:r>
        <w:t xml:space="preserve">Jerusalem Health &amp; Pharmaceutical Services Ltd.</w:t>
      </w:r>
    </w:p>
    <w:p>
      <w:pPr>
        <w:pStyle w:val="FirstParagraph"/>
      </w:pPr>
      <w:r>
        <w:t xml:space="preserve">12 King David Street, Jerusalem 9100000, Israel</w:t>
      </w:r>
    </w:p>
    <w:p>
      <w:pPr>
        <w:pStyle w:val="BodyText"/>
      </w:pPr>
      <w:r>
        <w:t xml:space="preserve">Tel: +972-2-623-4567 | Email: info@jerusalempharma.co.il</w:t>
      </w:r>
    </w:p>
    <w:p>
      <w:pPr>
        <w:pStyle w:val="BodyText"/>
      </w:pPr>
      <w:r>
        <w:t xml:space="preserve">License No. IL-PHARM-2024-0891 | VAT: 51-800-123-45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QE-JER-2025-0347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Israeli New Shekel (ILS / ₪)</w:t>
      </w:r>
    </w:p>
    <w:p>
      <w:pPr>
        <w:pStyle w:val="BodyText"/>
      </w:pPr>
      <w:r>
        <w:t xml:space="preserve">Pharmacist Services</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Hadassah Medical Center</w:t>
      </w:r>
    </w:p>
    <w:p>
      <w:pPr>
        <w:pStyle w:val="BodyText"/>
      </w:pPr>
      <w:r>
        <w:rPr>
          <w:bCs/>
          <w:b/>
        </w:rPr>
        <w:t xml:space="preserve">Department:</w:t>
      </w:r>
      <w:r>
        <w:t xml:space="preserve"> </w:t>
      </w:r>
      <w:r>
        <w:t xml:space="preserve">Clinical Pharmacy Division</w:t>
      </w:r>
    </w:p>
    <w:p>
      <w:pPr>
        <w:pStyle w:val="BodyText"/>
      </w:pPr>
      <w:r>
        <w:rPr>
          <w:bCs/>
          <w:b/>
        </w:rPr>
        <w:t xml:space="preserve">Location:</w:t>
      </w:r>
      <w:r>
        <w:t xml:space="preserve"> </w:t>
      </w:r>
      <w:r>
        <w:t xml:space="preserve">Ein Kerem Campus, Jerusalem, Israel</w:t>
      </w:r>
    </w:p>
    <w:p>
      <w:pPr>
        <w:pStyle w:val="BodyText"/>
      </w:pPr>
      <w:r>
        <w:rPr>
          <w:bCs/>
          <w:b/>
        </w:rPr>
        <w:t xml:space="preserve">Contact:</w:t>
      </w:r>
      <w:r>
        <w:t xml:space="preserve"> </w:t>
      </w:r>
      <w:r>
        <w:t xml:space="preserve">Dr. Miriam Levi, Head of Pharmacy</w:t>
      </w:r>
    </w:p>
    <w:p>
      <w:pPr>
        <w:pStyle w:val="BodyText"/>
      </w:pPr>
      <w:r>
        <w:rPr>
          <w:bCs/>
          <w:b/>
        </w:rPr>
        <w:t xml:space="preserve">Reference:</w:t>
      </w:r>
      <w:r>
        <w:t xml:space="preserve"> </w:t>
      </w:r>
      <w:r>
        <w:t xml:space="preserve">HMC-REQ-2025-1182</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Jerusalem Health &amp; Pharmaceutical Services Ltd. in response to the formal request for a qualified Pharmacist to be deployed at the Hadassah Medical Center in Israel Jerusalem. The purpose of this document is to provide a comprehensive, itemized breakdown of all costs associated with the recruitment, placement, and ongoing professional support of a licensed Pharmacist for a period of twelve (12) months. All figures presented in this Quotation Estimate are based on current market rates applicable to the Israel Jerusalem healthcare sector as of the date of issuance.</w:t>
      </w:r>
    </w:p>
    <w:p>
      <w:pPr>
        <w:pStyle w:val="BodyText"/>
      </w:pPr>
      <w:r>
        <w:t xml:space="preserve">The Pharmacist position described herein is intended to support the Clinical Pharmacy Division in patient medication management, therapeutic drug monitoring, pharmaceutical care planning, and compliance with the Israeli Ministry of Health regulations governing pharmacy practice in Israel Jerusalem. The Pharmacist will operate under the supervision of the Chief Pharmacist and in accordance with all applicable national and municipal health standards.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Recruitment and screening of a licensed Pharmacist (B.Pharm / Pharm.D) with minimum 5 years of clinical experience in Israel Jerusalem</w:t>
            </w:r>
          </w:p>
        </w:tc>
        <w:tc>
          <w:tcPr/>
          <w:p>
            <w:pPr>
              <w:pStyle w:val="Compact"/>
              <w:jc w:val="left"/>
            </w:pPr>
            <w:r>
              <w:t xml:space="preserve">1 position</w:t>
            </w:r>
          </w:p>
        </w:tc>
        <w:tc>
          <w:tcPr/>
          <w:p>
            <w:pPr>
              <w:pStyle w:val="Compact"/>
              <w:jc w:val="left"/>
            </w:pPr>
            <w:r>
              <w:t xml:space="preserve">₪ 12,500</w:t>
            </w:r>
          </w:p>
        </w:tc>
        <w:tc>
          <w:tcPr/>
          <w:p>
            <w:pPr>
              <w:pStyle w:val="Compact"/>
              <w:jc w:val="left"/>
            </w:pPr>
            <w:r>
              <w:t xml:space="preserve">₪ 12,500</w:t>
            </w:r>
          </w:p>
        </w:tc>
      </w:tr>
      <w:tr>
        <w:tc>
          <w:tcPr/>
          <w:p>
            <w:pPr>
              <w:pStyle w:val="Compact"/>
              <w:jc w:val="left"/>
            </w:pPr>
            <w:r>
              <w:t xml:space="preserve">2</w:t>
            </w:r>
          </w:p>
        </w:tc>
        <w:tc>
          <w:tcPr/>
          <w:p>
            <w:pPr>
              <w:pStyle w:val="Compact"/>
              <w:jc w:val="left"/>
            </w:pPr>
            <w:r>
              <w:t xml:space="preserve">Monthly salary for the Pharmacist (including statutory social security, Bituach Leumi contributions, and pension fund)</w:t>
            </w:r>
          </w:p>
        </w:tc>
        <w:tc>
          <w:tcPr/>
          <w:p>
            <w:pPr>
              <w:pStyle w:val="Compact"/>
              <w:jc w:val="left"/>
            </w:pPr>
            <w:r>
              <w:t xml:space="preserve">12 months</w:t>
            </w:r>
          </w:p>
        </w:tc>
        <w:tc>
          <w:tcPr/>
          <w:p>
            <w:pPr>
              <w:pStyle w:val="Compact"/>
              <w:jc w:val="left"/>
            </w:pPr>
            <w:r>
              <w:t xml:space="preserve">₪ 28,000</w:t>
            </w:r>
          </w:p>
        </w:tc>
        <w:tc>
          <w:tcPr/>
          <w:p>
            <w:pPr>
              <w:pStyle w:val="Compact"/>
              <w:jc w:val="left"/>
            </w:pPr>
            <w:r>
              <w:t xml:space="preserve">₪ 336,000</w:t>
            </w:r>
          </w:p>
        </w:tc>
      </w:tr>
      <w:tr>
        <w:tc>
          <w:tcPr/>
          <w:p>
            <w:pPr>
              <w:pStyle w:val="Compact"/>
              <w:jc w:val="left"/>
            </w:pPr>
            <w:r>
              <w:t xml:space="preserve">3</w:t>
            </w:r>
          </w:p>
        </w:tc>
        <w:tc>
          <w:tcPr/>
          <w:p>
            <w:pPr>
              <w:pStyle w:val="Compact"/>
              <w:jc w:val="left"/>
            </w:pPr>
            <w:r>
              <w:t xml:space="preserve">Israeli Ministry of Health license verification and annual renewal for the Pharmacist</w:t>
            </w:r>
          </w:p>
        </w:tc>
        <w:tc>
          <w:tcPr/>
          <w:p>
            <w:pPr>
              <w:pStyle w:val="Compact"/>
              <w:jc w:val="left"/>
            </w:pPr>
            <w:r>
              <w:t xml:space="preserve">1 year</w:t>
            </w:r>
          </w:p>
        </w:tc>
        <w:tc>
          <w:tcPr/>
          <w:p>
            <w:pPr>
              <w:pStyle w:val="Compact"/>
              <w:jc w:val="left"/>
            </w:pPr>
            <w:r>
              <w:t xml:space="preserve">₪ 3,200</w:t>
            </w:r>
          </w:p>
        </w:tc>
        <w:tc>
          <w:tcPr/>
          <w:p>
            <w:pPr>
              <w:pStyle w:val="Compact"/>
              <w:jc w:val="left"/>
            </w:pPr>
            <w:r>
              <w:t xml:space="preserve">₪ 3,200</w:t>
            </w:r>
          </w:p>
        </w:tc>
      </w:tr>
      <w:tr>
        <w:tc>
          <w:tcPr/>
          <w:p>
            <w:pPr>
              <w:pStyle w:val="Compact"/>
              <w:jc w:val="left"/>
            </w:pPr>
            <w:r>
              <w:t xml:space="preserve">4</w:t>
            </w:r>
          </w:p>
        </w:tc>
        <w:tc>
          <w:tcPr/>
          <w:p>
            <w:pPr>
              <w:pStyle w:val="Compact"/>
              <w:jc w:val="left"/>
            </w:pPr>
            <w:r>
              <w:t xml:space="preserve">Professional liability insurance for the Pharmacist (covering clinical practice in Israel Jerusalem)</w:t>
            </w:r>
          </w:p>
        </w:tc>
        <w:tc>
          <w:tcPr/>
          <w:p>
            <w:pPr>
              <w:pStyle w:val="Compact"/>
              <w:jc w:val="left"/>
            </w:pPr>
            <w:r>
              <w:t xml:space="preserve">12 months</w:t>
            </w:r>
          </w:p>
        </w:tc>
        <w:tc>
          <w:tcPr/>
          <w:p>
            <w:pPr>
              <w:pStyle w:val="Compact"/>
              <w:jc w:val="left"/>
            </w:pPr>
            <w:r>
              <w:t xml:space="preserve">₪ 4,800</w:t>
            </w:r>
          </w:p>
        </w:tc>
        <w:tc>
          <w:tcPr/>
          <w:p>
            <w:pPr>
              <w:pStyle w:val="Compact"/>
              <w:jc w:val="left"/>
            </w:pPr>
            <w:r>
              <w:t xml:space="preserve">₪ 4,800</w:t>
            </w:r>
          </w:p>
        </w:tc>
      </w:tr>
      <w:tr>
        <w:tc>
          <w:tcPr/>
          <w:p>
            <w:pPr>
              <w:pStyle w:val="Compact"/>
              <w:jc w:val="left"/>
            </w:pPr>
            <w:r>
              <w:t xml:space="preserve">5</w:t>
            </w:r>
          </w:p>
        </w:tc>
        <w:tc>
          <w:tcPr/>
          <w:p>
            <w:pPr>
              <w:pStyle w:val="Compact"/>
              <w:jc w:val="left"/>
            </w:pPr>
            <w:r>
              <w:t xml:space="preserve">Continuing Professional Development (CPD) and mandatory training hours as required by the Israel Pharmacists Association</w:t>
            </w:r>
          </w:p>
        </w:tc>
        <w:tc>
          <w:tcPr/>
          <w:p>
            <w:pPr>
              <w:pStyle w:val="Compact"/>
              <w:jc w:val="left"/>
            </w:pPr>
            <w:r>
              <w:t xml:space="preserve">12 months</w:t>
            </w:r>
          </w:p>
        </w:tc>
        <w:tc>
          <w:tcPr/>
          <w:p>
            <w:pPr>
              <w:pStyle w:val="Compact"/>
              <w:jc w:val="left"/>
            </w:pPr>
            <w:r>
              <w:t xml:space="preserve">₪ 2,500</w:t>
            </w:r>
          </w:p>
        </w:tc>
        <w:tc>
          <w:tcPr/>
          <w:p>
            <w:pPr>
              <w:pStyle w:val="Compact"/>
              <w:jc w:val="left"/>
            </w:pPr>
            <w:r>
              <w:t xml:space="preserve">₪ 2,500</w:t>
            </w:r>
          </w:p>
        </w:tc>
      </w:tr>
      <w:tr>
        <w:tc>
          <w:tcPr/>
          <w:p>
            <w:pPr>
              <w:pStyle w:val="Compact"/>
              <w:jc w:val="left"/>
            </w:pPr>
            <w:r>
              <w:t xml:space="preserve">6</w:t>
            </w:r>
          </w:p>
        </w:tc>
        <w:tc>
          <w:tcPr/>
          <w:p>
            <w:pPr>
              <w:pStyle w:val="Compact"/>
              <w:jc w:val="left"/>
            </w:pPr>
            <w:r>
              <w:t xml:space="preserve">Onboarding, orientation, and integration into the Hadassah pharmacy systems (including EHR access and protocol familiarization)</w:t>
            </w:r>
          </w:p>
        </w:tc>
        <w:tc>
          <w:tcPr/>
          <w:p>
            <w:pPr>
              <w:pStyle w:val="Compact"/>
              <w:jc w:val="left"/>
            </w:pPr>
            <w:r>
              <w:t xml:space="preserve">1 instance</w:t>
            </w:r>
          </w:p>
        </w:tc>
        <w:tc>
          <w:tcPr/>
          <w:p>
            <w:pPr>
              <w:pStyle w:val="Compact"/>
              <w:jc w:val="left"/>
            </w:pPr>
            <w:r>
              <w:t xml:space="preserve">₪ 5,000</w:t>
            </w:r>
          </w:p>
        </w:tc>
        <w:tc>
          <w:tcPr/>
          <w:p>
            <w:pPr>
              <w:pStyle w:val="Compact"/>
              <w:jc w:val="left"/>
            </w:pPr>
            <w:r>
              <w:t xml:space="preserve">₪ 5,000</w:t>
            </w:r>
          </w:p>
        </w:tc>
      </w:tr>
      <w:tr>
        <w:tc>
          <w:tcPr/>
          <w:p>
            <w:pPr>
              <w:pStyle w:val="Compact"/>
              <w:jc w:val="left"/>
            </w:pPr>
            <w:r>
              <w:t xml:space="preserve">7</w:t>
            </w:r>
          </w:p>
        </w:tc>
        <w:tc>
          <w:tcPr/>
          <w:p>
            <w:pPr>
              <w:pStyle w:val="Compact"/>
              <w:jc w:val="left"/>
            </w:pPr>
            <w:r>
              <w:t xml:space="preserve">Monthly supervisory and quality assurance oversight by a senior Pharmacist consultant</w:t>
            </w:r>
          </w:p>
        </w:tc>
        <w:tc>
          <w:tcPr/>
          <w:p>
            <w:pPr>
              <w:pStyle w:val="Compact"/>
              <w:jc w:val="left"/>
            </w:pPr>
            <w:r>
              <w:t xml:space="preserve">12 months</w:t>
            </w:r>
          </w:p>
        </w:tc>
        <w:tc>
          <w:tcPr/>
          <w:p>
            <w:pPr>
              <w:pStyle w:val="Compact"/>
              <w:jc w:val="left"/>
            </w:pPr>
            <w:r>
              <w:t xml:space="preserve">₪ 3,500</w:t>
            </w:r>
          </w:p>
        </w:tc>
        <w:tc>
          <w:tcPr/>
          <w:p>
            <w:pPr>
              <w:pStyle w:val="Compact"/>
              <w:jc w:val="left"/>
            </w:pPr>
            <w:r>
              <w:t xml:space="preserve">₪ 42,000</w:t>
            </w:r>
          </w:p>
        </w:tc>
      </w:tr>
      <w:tr>
        <w:tc>
          <w:tcPr/>
          <w:p>
            <w:pPr>
              <w:pStyle w:val="Compact"/>
              <w:jc w:val="left"/>
            </w:pPr>
            <w:r>
              <w:t xml:space="preserve">8</w:t>
            </w:r>
          </w:p>
        </w:tc>
        <w:tc>
          <w:tcPr/>
          <w:p>
            <w:pPr>
              <w:pStyle w:val="Compact"/>
              <w:jc w:val="left"/>
            </w:pPr>
            <w:r>
              <w:t xml:space="preserve">Administrative support, payroll processing, and HR compliance management for the Pharmacist role</w:t>
            </w:r>
          </w:p>
        </w:tc>
        <w:tc>
          <w:tcPr/>
          <w:p>
            <w:pPr>
              <w:pStyle w:val="Compact"/>
              <w:jc w:val="left"/>
            </w:pPr>
            <w:r>
              <w:t xml:space="preserve">12 months</w:t>
            </w:r>
          </w:p>
        </w:tc>
        <w:tc>
          <w:tcPr/>
          <w:p>
            <w:pPr>
              <w:pStyle w:val="Compact"/>
              <w:jc w:val="left"/>
            </w:pPr>
            <w:r>
              <w:t xml:space="preserve">₪ 1,800</w:t>
            </w:r>
          </w:p>
        </w:tc>
        <w:tc>
          <w:tcPr/>
          <w:p>
            <w:pPr>
              <w:pStyle w:val="Compact"/>
              <w:jc w:val="left"/>
            </w:pPr>
            <w:r>
              <w:t xml:space="preserve">₪ 21,600</w:t>
            </w:r>
          </w:p>
        </w:tc>
      </w:tr>
      <w:tr>
        <w:tc>
          <w:tcPr/>
          <w:p>
            <w:pPr>
              <w:pStyle w:val="Compact"/>
              <w:jc w:val="left"/>
            </w:pPr>
            <w:r>
              <w:t xml:space="preserve">9</w:t>
            </w:r>
          </w:p>
        </w:tc>
        <w:tc>
          <w:tcPr/>
          <w:p>
            <w:pPr>
              <w:pStyle w:val="Compact"/>
              <w:jc w:val="left"/>
            </w:pPr>
            <w:r>
              <w:t xml:space="preserve">Annual performance evaluation and professional development planning for the Pharmacist</w:t>
            </w:r>
          </w:p>
        </w:tc>
        <w:tc>
          <w:tcPr/>
          <w:p>
            <w:pPr>
              <w:pStyle w:val="Compact"/>
              <w:jc w:val="left"/>
            </w:pPr>
            <w:r>
              <w:t xml:space="preserve">1 instance</w:t>
            </w:r>
          </w:p>
        </w:tc>
        <w:tc>
          <w:tcPr/>
          <w:p>
            <w:pPr>
              <w:pStyle w:val="Compact"/>
              <w:jc w:val="left"/>
            </w:pPr>
            <w:r>
              <w:t xml:space="preserve">₪ 2,000</w:t>
            </w:r>
          </w:p>
        </w:tc>
        <w:tc>
          <w:tcPr/>
          <w:p>
            <w:pPr>
              <w:pStyle w:val="Compact"/>
              <w:jc w:val="left"/>
            </w:pPr>
            <w:r>
              <w:t xml:space="preserve">₪ 2,000</w:t>
            </w:r>
          </w:p>
        </w:tc>
      </w:tr>
      <w:tr>
        <w:tc>
          <w:tcPr/>
          <w:p>
            <w:pPr>
              <w:pStyle w:val="Compact"/>
              <w:jc w:val="left"/>
            </w:pPr>
            <w:r>
              <w:t xml:space="preserve">10</w:t>
            </w:r>
          </w:p>
        </w:tc>
        <w:tc>
          <w:tcPr/>
          <w:p>
            <w:pPr>
              <w:pStyle w:val="Compact"/>
              <w:jc w:val="left"/>
            </w:pPr>
            <w:r>
              <w:t xml:space="preserve">Contingency and miscellaneous costs (uniforms, PPE, workstation setup, and local transport allowance within Israel Jerusalem)</w:t>
            </w:r>
          </w:p>
        </w:tc>
        <w:tc>
          <w:tcPr/>
          <w:p>
            <w:pPr>
              <w:pStyle w:val="Compact"/>
              <w:jc w:val="left"/>
            </w:pPr>
            <w:r>
              <w:t xml:space="preserve">1 year</w:t>
            </w:r>
          </w:p>
        </w:tc>
        <w:tc>
          <w:tcPr/>
          <w:p>
            <w:pPr>
              <w:pStyle w:val="Compact"/>
              <w:jc w:val="left"/>
            </w:pPr>
            <w:r>
              <w:t xml:space="preserve">₪ 6,000</w:t>
            </w:r>
          </w:p>
        </w:tc>
        <w:tc>
          <w:tcPr/>
          <w:p>
            <w:pPr>
              <w:pStyle w:val="Compact"/>
              <w:jc w:val="left"/>
            </w:pPr>
            <w:r>
              <w:t xml:space="preserve">₪ 6,000</w:t>
            </w:r>
          </w:p>
        </w:tc>
      </w:tr>
      <w:tr>
        <w:tc>
          <w:tcPr>
            <w:gridSpan w:val="4"/>
          </w:tcPr>
          <w:p>
            <w:pPr>
              <w:pStyle w:val="Compact"/>
              <w:jc w:val="right"/>
            </w:pPr>
            <w:r>
              <w:t xml:space="preserve">Subtotal</w:t>
            </w:r>
          </w:p>
        </w:tc>
        <w:tc>
          <w:tcPr/>
          <w:p>
            <w:pPr>
              <w:pStyle w:val="Compact"/>
              <w:jc w:val="left"/>
            </w:pPr>
            <w:r>
              <w:t xml:space="preserve">₪ 435,600</w:t>
            </w:r>
          </w:p>
        </w:tc>
      </w:tr>
      <w:tr>
        <w:tc>
          <w:tcPr>
            <w:gridSpan w:val="4"/>
          </w:tcPr>
          <w:p>
            <w:pPr>
              <w:pStyle w:val="Compact"/>
              <w:jc w:val="right"/>
            </w:pPr>
            <w:r>
              <w:t xml:space="preserve">VAT (18%)</w:t>
            </w:r>
          </w:p>
        </w:tc>
        <w:tc>
          <w:tcPr/>
          <w:p>
            <w:pPr>
              <w:pStyle w:val="Compact"/>
              <w:jc w:val="left"/>
            </w:pPr>
            <w:r>
              <w:t xml:space="preserve">₪ 78,408</w:t>
            </w:r>
          </w:p>
        </w:tc>
      </w:tr>
      <w:tr>
        <w:tc>
          <w:tcPr>
            <w:gridSpan w:val="4"/>
          </w:tcPr>
          <w:p>
            <w:pPr>
              <w:pStyle w:val="Compact"/>
              <w:jc w:val="right"/>
            </w:pPr>
            <w:r>
              <w:t xml:space="preserve">Grand Total</w:t>
            </w:r>
          </w:p>
        </w:tc>
        <w:tc>
          <w:tcPr/>
          <w:p>
            <w:pPr>
              <w:pStyle w:val="Compact"/>
              <w:jc w:val="left"/>
            </w:pPr>
            <w:r>
              <w:t xml:space="preserve">₪ 514,008</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the expiration date, all rates and terms are subject to revision based on prevailing market conditions in Israel Jerusalem.</w:t>
      </w:r>
    </w:p>
    <w:p>
      <w:pPr>
        <w:numPr>
          <w:ilvl w:val="0"/>
          <w:numId w:val="1001"/>
        </w:numPr>
        <w:pStyle w:val="Compact"/>
      </w:pPr>
      <w:r>
        <w:rPr>
          <w:bCs/>
          <w:b/>
        </w:rPr>
        <w:t xml:space="preserve">Payment Terms:</w:t>
      </w:r>
      <w:r>
        <w:t xml:space="preserve"> </w:t>
      </w:r>
      <w:r>
        <w:t xml:space="preserve">A 30% advance payment is due upon acceptance of this Quotation Estimate. The remaining balance shall be invoiced monthly in arrears, payable within fourteen (14) days of invoice receipt via bank transfer to the account specified by Jerusalem Health &amp; Pharmaceutical Services Ltd.</w:t>
      </w:r>
    </w:p>
    <w:p>
      <w:pPr>
        <w:numPr>
          <w:ilvl w:val="0"/>
          <w:numId w:val="1001"/>
        </w:numPr>
        <w:pStyle w:val="Compact"/>
      </w:pPr>
      <w:r>
        <w:rPr>
          <w:bCs/>
          <w:b/>
        </w:rPr>
        <w:t xml:space="preserve">Pharmacist Qualifications:</w:t>
      </w:r>
      <w:r>
        <w:t xml:space="preserve"> </w:t>
      </w:r>
      <w:r>
        <w:t xml:space="preserve">The Pharmacist placed under this agreement must hold a valid license issued by the Israeli Ministry of Health, a degree from an accredited pharmacy school, and a minimum of five (5) years of post-licensure clinical experience. The Pharmacist must demonstrate proficiency in both Hebrew and English to effectively serve the diverse patient population in Israel Jerusalem.</w:t>
      </w:r>
    </w:p>
    <w:p>
      <w:pPr>
        <w:numPr>
          <w:ilvl w:val="0"/>
          <w:numId w:val="1001"/>
        </w:numPr>
        <w:pStyle w:val="Compact"/>
      </w:pPr>
      <w:r>
        <w:rPr>
          <w:bCs/>
          <w:b/>
        </w:rPr>
        <w:t xml:space="preserve">Compliance:</w:t>
      </w:r>
      <w:r>
        <w:t xml:space="preserve"> </w:t>
      </w:r>
      <w:r>
        <w:t xml:space="preserve">All services rendered by the Pharmacist shall comply with the Israeli Pharmacy Law, 5721-1961, and all subsequent amendments, as well as the regulations of the Israel Pharmacists Association and the Jerusalem Municipal Health Authority.</w:t>
      </w:r>
    </w:p>
    <w:p>
      <w:pPr>
        <w:numPr>
          <w:ilvl w:val="0"/>
          <w:numId w:val="1001"/>
        </w:numPr>
        <w:pStyle w:val="Compact"/>
      </w:pPr>
      <w:r>
        <w:rPr>
          <w:bCs/>
          <w:b/>
        </w:rPr>
        <w:t xml:space="preserve">Termination:</w:t>
      </w:r>
      <w:r>
        <w:t xml:space="preserve"> </w:t>
      </w:r>
      <w:r>
        <w:t xml:space="preserve">Either party may terminate the engagement with a written notice of sixty (60) days. In the event of early termination, a pro-rata adjustment to the Quotation Estimate costs will be applied.</w:t>
      </w:r>
    </w:p>
    <w:p>
      <w:pPr>
        <w:numPr>
          <w:ilvl w:val="0"/>
          <w:numId w:val="1001"/>
        </w:numPr>
        <w:pStyle w:val="Compact"/>
      </w:pPr>
      <w:r>
        <w:rPr>
          <w:bCs/>
          <w:b/>
        </w:rPr>
        <w:t xml:space="preserve">Confidentiality:</w:t>
      </w:r>
      <w:r>
        <w:t xml:space="preserve"> </w:t>
      </w:r>
      <w:r>
        <w:t xml:space="preserve">All patient data, clinical records, and proprietary information encountered by the Pharmacist during the course of employment in Israel Jerusalem shall be treated in strict accordance with the Israeli Privacy Protection Law, 5741-1981.</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Jerusalem, Israel, in accordance with the laws of the State of Israel.</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provision of Pharmacist services in Israel Jerusalem. This signature constitutes a binding acceptance of the Quotation Estimate and authorizes Jerusalem Health &amp; Pharmaceutical Services Ltd. to commence the recruitment and placement process for the Pharmacist position.</w:t>
      </w:r>
    </w:p>
    <w:p>
      <w:pPr>
        <w:pStyle w:val="BodyText"/>
      </w:pPr>
      <w:r>
        <w:rPr>
          <w:bCs/>
          <w:b/>
        </w:rPr>
        <w:t xml:space="preserve">For: Jerusalem Health &amp; Pharmaceutical Services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Hadassah Medical Center (Client)</w:t>
      </w:r>
      <w:r>
        <w:br/>
      </w:r>
      <w:r>
        <w:t xml:space="preserve">Name: _________________________</w:t>
      </w:r>
      <w:r>
        <w:br/>
      </w:r>
      <w:r>
        <w:t xml:space="preserve">Title: Head of Pharmacy Division</w:t>
      </w:r>
      <w:r>
        <w:br/>
      </w:r>
      <w:r>
        <w:t xml:space="preserve">Date: _________________________</w:t>
      </w:r>
    </w:p>
    <w:p>
      <w:pPr>
        <w:pStyle w:val="BodyText"/>
      </w:pPr>
      <w:r>
        <w:t xml:space="preserve">Quotation Estimate No. QE-JER-2025-0347 | Issued by Jerusalem Health &amp; Pharmaceutical Services Ltd. | Israel Jerusalem</w:t>
      </w:r>
    </w:p>
    <w:p>
      <w:pPr>
        <w:pStyle w:val="BodyText"/>
      </w:pPr>
      <w:r>
        <w:t xml:space="preserve">This document is confidential and intended solely for the named recipient. Unauthorized reproduction or distribution is prohibited.</w:t>
      </w:r>
    </w:p>
    <w:p>
      <w:pPr>
        <w:pStyle w:val="BodyText"/>
      </w:pPr>
      <w:r>
        <w:t xml:space="preserve">© 2025 Jerusalem Health &amp; Pharmaceutical Services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Israel Jerusalem</dc:title>
  <dc:creator/>
  <dc:language>en</dc:language>
  <cp:keywords/>
  <dcterms:created xsi:type="dcterms:W3CDTF">2026-10-10T02:11:05Z</dcterms:created>
  <dcterms:modified xsi:type="dcterms:W3CDTF">2026-10-10T02:11:05Z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