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medipharm-tel-aviv-ltd."/>
    <w:p>
      <w:pPr>
        <w:pStyle w:val="Heading1"/>
      </w:pPr>
      <w:r>
        <w:t xml:space="preserve">MediPharm Tel Aviv Ltd.</w:t>
      </w:r>
    </w:p>
    <w:p>
      <w:pPr>
        <w:pStyle w:val="FirstParagraph"/>
      </w:pPr>
      <w:r>
        <w:t xml:space="preserve">Licensed Pharmacist Services &amp; Clinical Pharmacy Solutions</w:t>
      </w:r>
    </w:p>
    <w:p>
      <w:pPr>
        <w:pStyle w:val="BodyText"/>
      </w:pPr>
      <w:r>
        <w:t xml:space="preserve">142 Dizengoff Street, Tel Aviv-Yafo, Israel 6350000</w:t>
      </w:r>
    </w:p>
    <w:p>
      <w:pPr>
        <w:pStyle w:val="BodyText"/>
      </w:pPr>
      <w:r>
        <w:t xml:space="preserve">Tel: +972-3-621-4580 | Email: estimates@medipharm-tlv.co.il</w:t>
      </w:r>
    </w:p>
    <w:p>
      <w:pPr>
        <w:pStyle w:val="BodyText"/>
      </w:pPr>
      <w:r>
        <w:t xml:space="preserve">VAT No. 51-804-332-17 | Ministry of Health License No. PH-2024-00871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QTE-2025-TLV-0347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Currency:</w:t>
      </w:r>
      <w:r>
        <w:t xml:space="preserve"> </w:t>
      </w:r>
      <w:r>
        <w:t xml:space="preserve">Israeli New Shekel (ILS / ₪)</w:t>
      </w:r>
    </w:p>
    <w:p>
      <w:pPr>
        <w:pStyle w:val="BodyText"/>
      </w:pPr>
      <w:r>
        <w:t xml:space="preserve">Pharmacist Services – Tel Aviv, Israel</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Ashdod Regional Medical Center</w:t>
      </w:r>
    </w:p>
    <w:p>
      <w:pPr>
        <w:pStyle w:val="BodyText"/>
      </w:pPr>
      <w:r>
        <w:rPr>
          <w:bCs/>
          <w:b/>
        </w:rPr>
        <w:t xml:space="preserve">Address:</w:t>
      </w:r>
      <w:r>
        <w:t xml:space="preserve"> </w:t>
      </w:r>
      <w:r>
        <w:t xml:space="preserve">12 HaYarkon St., Ashdod, Israel</w:t>
      </w:r>
    </w:p>
    <w:p>
      <w:pPr>
        <w:pStyle w:val="BodyText"/>
      </w:pPr>
      <w:r>
        <w:rPr>
          <w:bCs/>
          <w:b/>
        </w:rPr>
        <w:t xml:space="preserve">Contact Person:</w:t>
      </w:r>
      <w:r>
        <w:t xml:space="preserve"> </w:t>
      </w:r>
      <w:r>
        <w:t xml:space="preserve">Dr. Miriam Levi, Head of Pharmacy Dept.</w:t>
      </w:r>
    </w:p>
    <w:p>
      <w:pPr>
        <w:pStyle w:val="BodyText"/>
      </w:pPr>
      <w:r>
        <w:rPr>
          <w:bCs/>
          <w:b/>
        </w:rPr>
        <w:t xml:space="preserve">Email:</w:t>
      </w:r>
      <w:r>
        <w:t xml:space="preserve"> </w:t>
      </w:r>
      <w:r>
        <w:t xml:space="preserve">m.levi@ashdod-med.co.il</w:t>
      </w:r>
    </w:p>
    <w:p>
      <w:pPr>
        <w:pStyle w:val="BodyText"/>
      </w:pPr>
      <w:r>
        <w:rPr>
          <w:bCs/>
          <w:b/>
        </w:rPr>
        <w:t xml:space="preserve">Phone:</w:t>
      </w:r>
      <w:r>
        <w:t xml:space="preserve"> </w:t>
      </w:r>
      <w:r>
        <w:t xml:space="preserve">+972-8-745-2210</w:t>
      </w:r>
    </w:p>
    <w:bookmarkEnd w:id="22"/>
    <w:p>
      <w:pPr>
        <w:pStyle w:val="BodyText"/>
      </w:pPr>
      <w:r>
        <w:t xml:space="preserve">This</w:t>
      </w:r>
      <w:r>
        <w:t xml:space="preserve"> </w:t>
      </w:r>
      <w:r>
        <w:rPr>
          <w:bCs/>
          <w:b/>
        </w:rPr>
        <w:t xml:space="preserve">Quotation Estimate</w:t>
      </w:r>
      <w:r>
        <w:t xml:space="preserve"> </w:t>
      </w:r>
      <w:r>
        <w:t xml:space="preserve">is issued by MediPharm Tel Aviv Ltd. to provide a comprehensive and itemized cost breakdown for the engagement of a licensed</w:t>
      </w:r>
      <w:r>
        <w:t xml:space="preserve"> </w:t>
      </w:r>
      <w:r>
        <w:rPr>
          <w:bCs/>
          <w:b/>
        </w:rPr>
        <w:t xml:space="preserve">Pharmacist</w:t>
      </w:r>
      <w:r>
        <w:t xml:space="preserve"> </w:t>
      </w:r>
      <w:r>
        <w:t xml:space="preserve">to deliver clinical pharmacy services, medication management, and patient counseling within the Tel Aviv metropolitan area, Israel. All pricing reflects current Israeli Ministry of Health regulatory standards, professional association fee schedules, and applicable value-added tax (VAT) as mandated by the Israel Tax Authority.</w:t>
      </w:r>
    </w:p>
    <w:p>
      <w:pPr>
        <w:pStyle w:val="BodyText"/>
      </w:pPr>
      <w:r>
        <w:t xml:space="preserve">Scope of Pharmacist Services</w:t>
      </w:r>
    </w:p>
    <w:p>
      <w:pPr>
        <w:pStyle w:val="BodyText"/>
      </w:pPr>
      <w:r>
        <w:t xml:space="preserve">The</w:t>
      </w:r>
      <w:r>
        <w:t xml:space="preserve"> </w:t>
      </w:r>
      <w:r>
        <w:rPr>
          <w:bCs/>
          <w:b/>
        </w:rPr>
        <w:t xml:space="preserve">Pharmacist</w:t>
      </w:r>
      <w:r>
        <w:t xml:space="preserve"> </w:t>
      </w:r>
      <w:r>
        <w:t xml:space="preserve">engaged under this Quotation Estimate shall hold a valid Israeli Pharmacist License issued by the Israel Ministry of Health, be a registered member of the Israel Pharmacists Association, and possess a minimum of five (5) years of post-licensure clinical experience. The Pharmacist will be stationed at the client's facility in Tel Aviv or its immediate suburbs and will operate in accordance with Israeli pharmaceutical law (Pharmaceutical Law, 5727-1967) and all relevant national health regulations.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Full-time Licensed Pharmacist – Clinical Pharmacy Services (8 hrs/day, 5 days/week)</w:t>
            </w:r>
          </w:p>
        </w:tc>
        <w:tc>
          <w:tcPr/>
          <w:p>
            <w:pPr>
              <w:pStyle w:val="Compact"/>
              <w:jc w:val="left"/>
            </w:pPr>
            <w:r>
              <w:t xml:space="preserve">1 Pharmacist / 1 month</w:t>
            </w:r>
          </w:p>
        </w:tc>
        <w:tc>
          <w:tcPr/>
          <w:p>
            <w:pPr>
              <w:pStyle w:val="Compact"/>
              <w:jc w:val="left"/>
            </w:pPr>
            <w:r>
              <w:t xml:space="preserve">₪ 18,500</w:t>
            </w:r>
          </w:p>
        </w:tc>
        <w:tc>
          <w:tcPr/>
          <w:p>
            <w:pPr>
              <w:pStyle w:val="Compact"/>
              <w:jc w:val="left"/>
            </w:pPr>
            <w:r>
              <w:t xml:space="preserve">₪ 18,500.00</w:t>
            </w:r>
          </w:p>
        </w:tc>
        <w:tc>
          <w:tcPr/>
          <w:p>
            <w:pPr>
              <w:pStyle w:val="Compact"/>
              <w:jc w:val="left"/>
            </w:pPr>
            <w:r>
              <w:t xml:space="preserve">Includes medication review, prescription verification, and patient counseling</w:t>
            </w:r>
          </w:p>
        </w:tc>
      </w:tr>
      <w:tr>
        <w:tc>
          <w:tcPr/>
          <w:p>
            <w:pPr>
              <w:pStyle w:val="Compact"/>
              <w:jc w:val="left"/>
            </w:pPr>
            <w:r>
              <w:t xml:space="preserve">2</w:t>
            </w:r>
          </w:p>
        </w:tc>
        <w:tc>
          <w:tcPr/>
          <w:p>
            <w:pPr>
              <w:pStyle w:val="Compact"/>
              <w:jc w:val="left"/>
            </w:pPr>
            <w:r>
              <w:t xml:space="preserve">Pharmacist On-Call Coverage – Weekend &amp; Holiday Shifts (Tel Aviv area)</w:t>
            </w:r>
          </w:p>
        </w:tc>
        <w:tc>
          <w:tcPr/>
          <w:p>
            <w:pPr>
              <w:pStyle w:val="Compact"/>
              <w:jc w:val="left"/>
            </w:pPr>
            <w:r>
              <w:t xml:space="preserve">8 shifts / month</w:t>
            </w:r>
          </w:p>
        </w:tc>
        <w:tc>
          <w:tcPr/>
          <w:p>
            <w:pPr>
              <w:pStyle w:val="Compact"/>
              <w:jc w:val="left"/>
            </w:pPr>
            <w:r>
              <w:t xml:space="preserve">₪ 1,200</w:t>
            </w:r>
          </w:p>
        </w:tc>
        <w:tc>
          <w:tcPr/>
          <w:p>
            <w:pPr>
              <w:pStyle w:val="Compact"/>
              <w:jc w:val="left"/>
            </w:pPr>
            <w:r>
              <w:t xml:space="preserve">₪ 9,600.00</w:t>
            </w:r>
          </w:p>
        </w:tc>
        <w:tc>
          <w:tcPr/>
          <w:p>
            <w:pPr>
              <w:pStyle w:val="Compact"/>
              <w:jc w:val="left"/>
            </w:pPr>
            <w:r>
              <w:t xml:space="preserve">12-hour shifts; complies with Israeli labor law overtime provisions</w:t>
            </w:r>
          </w:p>
        </w:tc>
      </w:tr>
      <w:tr>
        <w:tc>
          <w:tcPr/>
          <w:p>
            <w:pPr>
              <w:pStyle w:val="Compact"/>
              <w:jc w:val="left"/>
            </w:pPr>
            <w:r>
              <w:t xml:space="preserve">3</w:t>
            </w:r>
          </w:p>
        </w:tc>
        <w:tc>
          <w:tcPr/>
          <w:p>
            <w:pPr>
              <w:pStyle w:val="Compact"/>
              <w:jc w:val="left"/>
            </w:pPr>
            <w:r>
              <w:t xml:space="preserve">Medication Therapy Management (MTM) Program – Pharmacist-Led</w:t>
            </w:r>
          </w:p>
        </w:tc>
        <w:tc>
          <w:tcPr/>
          <w:p>
            <w:pPr>
              <w:pStyle w:val="Compact"/>
              <w:jc w:val="left"/>
            </w:pPr>
            <w:r>
              <w:t xml:space="preserve">Per 100 patients</w:t>
            </w:r>
          </w:p>
        </w:tc>
        <w:tc>
          <w:tcPr/>
          <w:p>
            <w:pPr>
              <w:pStyle w:val="Compact"/>
              <w:jc w:val="left"/>
            </w:pPr>
            <w:r>
              <w:t xml:space="preserve">₪ 3,200</w:t>
            </w:r>
          </w:p>
        </w:tc>
        <w:tc>
          <w:tcPr/>
          <w:p>
            <w:pPr>
              <w:pStyle w:val="Compact"/>
              <w:jc w:val="left"/>
            </w:pPr>
            <w:r>
              <w:t xml:space="preserve">₪ 3,200.00</w:t>
            </w:r>
          </w:p>
        </w:tc>
        <w:tc>
          <w:tcPr/>
          <w:p>
            <w:pPr>
              <w:pStyle w:val="Compact"/>
              <w:jc w:val="left"/>
            </w:pPr>
            <w:r>
              <w:t xml:space="preserve">Includes drug interaction screening, adherence monitoring, and follow-up calls</w:t>
            </w:r>
          </w:p>
        </w:tc>
      </w:tr>
      <w:tr>
        <w:tc>
          <w:tcPr/>
          <w:p>
            <w:pPr>
              <w:pStyle w:val="Compact"/>
              <w:jc w:val="left"/>
            </w:pPr>
            <w:r>
              <w:t xml:space="preserve">4</w:t>
            </w:r>
          </w:p>
        </w:tc>
        <w:tc>
          <w:tcPr/>
          <w:p>
            <w:pPr>
              <w:pStyle w:val="Compact"/>
              <w:jc w:val="left"/>
            </w:pPr>
            <w:r>
              <w:t xml:space="preserve">Pharmacist-Led Patient Education Workshops (Tel Aviv community clinics)</w:t>
            </w:r>
          </w:p>
        </w:tc>
        <w:tc>
          <w:tcPr/>
          <w:p>
            <w:pPr>
              <w:pStyle w:val="Compact"/>
              <w:jc w:val="left"/>
            </w:pPr>
            <w:r>
              <w:t xml:space="preserve">4 sessions / month</w:t>
            </w:r>
          </w:p>
        </w:tc>
        <w:tc>
          <w:tcPr/>
          <w:p>
            <w:pPr>
              <w:pStyle w:val="Compact"/>
              <w:jc w:val="left"/>
            </w:pPr>
            <w:r>
              <w:t xml:space="preserve">₪ 850</w:t>
            </w:r>
          </w:p>
        </w:tc>
        <w:tc>
          <w:tcPr/>
          <w:p>
            <w:pPr>
              <w:pStyle w:val="Compact"/>
              <w:jc w:val="left"/>
            </w:pPr>
            <w:r>
              <w:t xml:space="preserve">₪ 3,400.00</w:t>
            </w:r>
          </w:p>
        </w:tc>
        <w:tc>
          <w:tcPr/>
          <w:p>
            <w:pPr>
              <w:pStyle w:val="Compact"/>
              <w:jc w:val="left"/>
            </w:pPr>
            <w:r>
              <w:t xml:space="preserve">Topics: diabetes management, anticoagulant therapy, antibiotic stewardship</w:t>
            </w:r>
          </w:p>
        </w:tc>
      </w:tr>
      <w:tr>
        <w:tc>
          <w:tcPr/>
          <w:p>
            <w:pPr>
              <w:pStyle w:val="Compact"/>
              <w:jc w:val="left"/>
            </w:pPr>
            <w:r>
              <w:t xml:space="preserve">5</w:t>
            </w:r>
          </w:p>
        </w:tc>
        <w:tc>
          <w:tcPr/>
          <w:p>
            <w:pPr>
              <w:pStyle w:val="Compact"/>
              <w:jc w:val="left"/>
            </w:pPr>
            <w:r>
              <w:t xml:space="preserve">Pharmaceutical Inventory &amp; Supply Chain Consultation</w:t>
            </w:r>
          </w:p>
        </w:tc>
        <w:tc>
          <w:tcPr/>
          <w:p>
            <w:pPr>
              <w:pStyle w:val="Compact"/>
              <w:jc w:val="left"/>
            </w:pPr>
            <w:r>
              <w:t xml:space="preserve">1 engagement / month</w:t>
            </w:r>
          </w:p>
        </w:tc>
        <w:tc>
          <w:tcPr/>
          <w:p>
            <w:pPr>
              <w:pStyle w:val="Compact"/>
              <w:jc w:val="left"/>
            </w:pPr>
            <w:r>
              <w:t xml:space="preserve">₪ 2,800</w:t>
            </w:r>
          </w:p>
        </w:tc>
        <w:tc>
          <w:tcPr/>
          <w:p>
            <w:pPr>
              <w:pStyle w:val="Compact"/>
              <w:jc w:val="left"/>
            </w:pPr>
            <w:r>
              <w:t xml:space="preserve">₪ 2,800.00</w:t>
            </w:r>
          </w:p>
        </w:tc>
        <w:tc>
          <w:tcPr/>
          <w:p>
            <w:pPr>
              <w:pStyle w:val="Compact"/>
              <w:jc w:val="left"/>
            </w:pPr>
            <w:r>
              <w:t xml:space="preserve">Stock optimization, cold-chain compliance, and Israeli regulatory audit support</w:t>
            </w:r>
          </w:p>
        </w:tc>
      </w:tr>
      <w:tr>
        <w:tc>
          <w:tcPr/>
          <w:p>
            <w:pPr>
              <w:pStyle w:val="Compact"/>
              <w:jc w:val="left"/>
            </w:pPr>
            <w:r>
              <w:t xml:space="preserve">6</w:t>
            </w:r>
          </w:p>
        </w:tc>
        <w:tc>
          <w:tcPr/>
          <w:p>
            <w:pPr>
              <w:pStyle w:val="Compact"/>
              <w:jc w:val="left"/>
            </w:pPr>
            <w:r>
              <w:t xml:space="preserve">Pharmacist Professional Liability Insurance (Israeli coverage)</w:t>
            </w:r>
          </w:p>
        </w:tc>
        <w:tc>
          <w:tcPr/>
          <w:p>
            <w:pPr>
              <w:pStyle w:val="Compact"/>
              <w:jc w:val="left"/>
            </w:pPr>
            <w:r>
              <w:t xml:space="preserve">1 policy / month</w:t>
            </w:r>
          </w:p>
        </w:tc>
        <w:tc>
          <w:tcPr/>
          <w:p>
            <w:pPr>
              <w:pStyle w:val="Compact"/>
              <w:jc w:val="left"/>
            </w:pPr>
            <w:r>
              <w:t xml:space="preserve">₪ 650</w:t>
            </w:r>
          </w:p>
        </w:tc>
        <w:tc>
          <w:tcPr/>
          <w:p>
            <w:pPr>
              <w:pStyle w:val="Compact"/>
              <w:jc w:val="left"/>
            </w:pPr>
            <w:r>
              <w:t xml:space="preserve">₪ 650.00</w:t>
            </w:r>
          </w:p>
        </w:tc>
        <w:tc>
          <w:tcPr/>
          <w:p>
            <w:pPr>
              <w:pStyle w:val="Compact"/>
              <w:jc w:val="left"/>
            </w:pPr>
            <w:r>
              <w:t xml:space="preserve">Minimum coverage per Israel Pharmacists Association requirements</w:t>
            </w:r>
          </w:p>
        </w:tc>
      </w:tr>
      <w:tr>
        <w:tc>
          <w:tcPr/>
          <w:p>
            <w:pPr>
              <w:pStyle w:val="Compact"/>
              <w:jc w:val="left"/>
            </w:pPr>
            <w:r>
              <w:t xml:space="preserve">7</w:t>
            </w:r>
          </w:p>
        </w:tc>
        <w:tc>
          <w:tcPr/>
          <w:p>
            <w:pPr>
              <w:pStyle w:val="Compact"/>
              <w:jc w:val="left"/>
            </w:pPr>
            <w:r>
              <w:t xml:space="preserve">Travel &amp; Local Transportation within Tel Aviv-Yafo Municipality</w:t>
            </w:r>
          </w:p>
        </w:tc>
        <w:tc>
          <w:tcPr/>
          <w:p>
            <w:pPr>
              <w:pStyle w:val="Compact"/>
              <w:jc w:val="left"/>
            </w:pPr>
            <w:r>
              <w:t xml:space="preserve">Monthly allowance</w:t>
            </w:r>
          </w:p>
        </w:tc>
        <w:tc>
          <w:tcPr/>
          <w:p>
            <w:pPr>
              <w:pStyle w:val="Compact"/>
              <w:jc w:val="left"/>
            </w:pPr>
            <w:r>
              <w:t xml:space="preserve">₪ 450</w:t>
            </w:r>
          </w:p>
        </w:tc>
        <w:tc>
          <w:tcPr/>
          <w:p>
            <w:pPr>
              <w:pStyle w:val="Compact"/>
              <w:jc w:val="left"/>
            </w:pPr>
            <w:r>
              <w:t xml:space="preserve">₪ 450.00</w:t>
            </w:r>
          </w:p>
        </w:tc>
        <w:tc>
          <w:tcPr/>
          <w:p>
            <w:pPr>
              <w:pStyle w:val="Compact"/>
              <w:jc w:val="left"/>
            </w:pPr>
            <w:r>
              <w:t xml:space="preserve">Covers inter-site visits across Tel Aviv district facilities</w:t>
            </w:r>
          </w:p>
        </w:tc>
      </w:tr>
      <w:tr>
        <w:tc>
          <w:tcPr>
            <w:gridSpan w:val="4"/>
          </w:tcPr>
          <w:p>
            <w:pPr>
              <w:pStyle w:val="Compact"/>
              <w:jc w:val="left"/>
            </w:pPr>
            <w:r>
              <w:t xml:space="preserve">Subtotal (before VAT)</w:t>
            </w:r>
          </w:p>
        </w:tc>
        <w:tc>
          <w:tcPr/>
          <w:p>
            <w:pPr>
              <w:pStyle w:val="Compact"/>
              <w:jc w:val="left"/>
            </w:pPr>
            <w:r>
              <w:t xml:space="preserve">₪ 38,600.00</w:t>
            </w:r>
          </w:p>
        </w:tc>
        <w:tc>
          <w:tcPr/>
          <w:p>
            <w:pPr>
              <w:pStyle w:val="Compact"/>
            </w:pPr>
          </w:p>
        </w:tc>
      </w:tr>
      <w:tr>
        <w:tc>
          <w:tcPr>
            <w:gridSpan w:val="4"/>
          </w:tcPr>
          <w:p>
            <w:pPr>
              <w:pStyle w:val="Compact"/>
              <w:jc w:val="left"/>
            </w:pPr>
            <w:r>
              <w:t xml:space="preserve">VAT @ 18% (Israel Tax Authority)</w:t>
            </w:r>
          </w:p>
        </w:tc>
        <w:tc>
          <w:tcPr/>
          <w:p>
            <w:pPr>
              <w:pStyle w:val="Compact"/>
              <w:jc w:val="left"/>
            </w:pPr>
            <w:r>
              <w:t xml:space="preserve">₪ 6,948.00</w:t>
            </w:r>
          </w:p>
        </w:tc>
        <w:tc>
          <w:tcPr/>
          <w:p>
            <w:pPr>
              <w:pStyle w:val="Compact"/>
            </w:pPr>
          </w:p>
        </w:tc>
      </w:tr>
      <w:tr>
        <w:tc>
          <w:tcPr>
            <w:gridSpan w:val="4"/>
          </w:tcPr>
          <w:p>
            <w:pPr>
              <w:pStyle w:val="Compact"/>
              <w:jc w:val="left"/>
            </w:pPr>
            <w:r>
              <w:rPr>
                <w:bCs/>
                <w:b/>
              </w:rPr>
              <w:t xml:space="preserve">TOTAL ESTIMATED COST (Monthly)</w:t>
            </w:r>
          </w:p>
        </w:tc>
        <w:tc>
          <w:tcPr/>
          <w:p>
            <w:pPr>
              <w:pStyle w:val="Compact"/>
              <w:jc w:val="left"/>
            </w:pPr>
            <w:r>
              <w:rPr>
                <w:bCs/>
                <w:b/>
              </w:rPr>
              <w:t xml:space="preserve">₪ 45,548.00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Any engagement beyond this period will require a revised Quotation Estimate reflecting current Israeli market rates and regulatory adjustments.</w:t>
      </w:r>
    </w:p>
    <w:p>
      <w:pPr>
        <w:numPr>
          <w:ilvl w:val="0"/>
          <w:numId w:val="1001"/>
        </w:numPr>
        <w:pStyle w:val="Compact"/>
      </w:pPr>
      <w:r>
        <w:t xml:space="preserve">All services rendered by the Pharmacist shall comply with the Israeli Ministry of Health regulations, the Pharmaceutical Law (5727-1967), and the standards set forth by the Israel Pharmacists Association.</w:t>
      </w:r>
    </w:p>
    <w:p>
      <w:pPr>
        <w:numPr>
          <w:ilvl w:val="0"/>
          <w:numId w:val="1001"/>
        </w:numPr>
        <w:pStyle w:val="Compact"/>
      </w:pPr>
      <w:r>
        <w:t xml:space="preserve">The Pharmacist assigned under this Quotation Estimate shall maintain a valid Israeli Pharmacist License and professional liability insurance throughout the engagement period in Tel Aviv.</w:t>
      </w:r>
    </w:p>
    <w:p>
      <w:pPr>
        <w:numPr>
          <w:ilvl w:val="0"/>
          <w:numId w:val="1001"/>
        </w:numPr>
        <w:pStyle w:val="Compact"/>
      </w:pPr>
      <w:r>
        <w:t xml:space="preserve">Payment terms: Net 30 days from the date of invoice issuance. Invoices will be issued in Israeli New Shekels (ILS) and are subject to 18% VAT as per Israeli tax law. Late payments shall accrue interest at the rate prescribed by the Israeli Interest Law.</w:t>
      </w:r>
    </w:p>
    <w:p>
      <w:pPr>
        <w:numPr>
          <w:ilvl w:val="0"/>
          <w:numId w:val="1001"/>
        </w:numPr>
        <w:pStyle w:val="Compact"/>
      </w:pPr>
      <w:r>
        <w:t xml:space="preserve">The client agrees to provide the Pharmacist with a suitable, compliant workspace within the Tel Aviv facility, including access to the pharmacy information system, refrigeration units, and secure storage for controlled substances as required by Israeli law.</w:t>
      </w:r>
    </w:p>
    <w:p>
      <w:pPr>
        <w:numPr>
          <w:ilvl w:val="0"/>
          <w:numId w:val="1001"/>
        </w:numPr>
        <w:pStyle w:val="Compact"/>
      </w:pPr>
      <w:r>
        <w:t xml:space="preserve">Any additional services beyond the scope outlined in this Quotation Estimate will be subject to a separate written amendment and supplementary Quotation Estimate approved by both parties.</w:t>
      </w:r>
    </w:p>
    <w:p>
      <w:pPr>
        <w:numPr>
          <w:ilvl w:val="0"/>
          <w:numId w:val="1001"/>
        </w:numPr>
        <w:pStyle w:val="Compact"/>
      </w:pPr>
      <w:r>
        <w:t xml:space="preserve">This Quotation Estimate does not constitute a binding contract. A formal service agreement, governed by the laws of the State of Israel, must be executed prior to the commencement of any Pharmacist services.</w:t>
      </w:r>
    </w:p>
    <w:p>
      <w:pPr>
        <w:numPr>
          <w:ilvl w:val="0"/>
          <w:numId w:val="1001"/>
        </w:numPr>
        <w:pStyle w:val="Compact"/>
      </w:pPr>
      <w:r>
        <w:t xml:space="preserve">Confidentiality: All patient data handled by the Pharmacist in Tel Aviv shall be protected in accordance with the Israeli Privacy Protection Law, 5741-1981, and the National Health Insurance regulations.</w:t>
      </w:r>
    </w:p>
    <w:p>
      <w:pPr>
        <w:numPr>
          <w:ilvl w:val="0"/>
          <w:numId w:val="1001"/>
        </w:numPr>
        <w:pStyle w:val="Compact"/>
      </w:pPr>
      <w:r>
        <w:t xml:space="preserve">Termination: Either party may terminate the engagement with thirty (30) days' written notice. In the event of early termination, the client shall be liable for all Pharmacist services rendered up to the termination date.</w:t>
      </w:r>
    </w:p>
    <w:p>
      <w:pPr>
        <w:numPr>
          <w:ilvl w:val="0"/>
          <w:numId w:val="1001"/>
        </w:numPr>
        <w:pStyle w:val="Compact"/>
      </w:pPr>
      <w:r>
        <w:t xml:space="preserve">Disputes arising from this Quotation Estimate or the subsequent service agreement shall be resolved through the competent courts in Tel Aviv, Israel, or by binding arbitration under the rules of the Tel Aviv Arbitration Center.</w:t>
      </w:r>
    </w:p>
    <w:p>
      <w:pPr>
        <w:pStyle w:val="FirstParagraph"/>
      </w:pPr>
      <w:r>
        <w:t xml:space="preserve">Acceptance &amp; Authorization</w:t>
      </w:r>
    </w:p>
    <w:p>
      <w:pPr>
        <w:pStyle w:val="BodyText"/>
      </w:pPr>
      <w:r>
        <w:t xml:space="preserve">By signing below, the client acknowledges and accepts the terms, conditions, and pricing outlined in this Quotation Estimate for Pharmacist services in Tel Aviv, Israel. This signature authorizes MediPharm Tel Aviv Ltd. to proceed with the assignment of the Pharmacist as described herein.</w:t>
      </w:r>
    </w:p>
    <w:p>
      <w:pPr>
        <w:pStyle w:val="BodyText"/>
      </w:pPr>
      <w:r>
        <w:rPr>
          <w:bCs/>
          <w:b/>
        </w:rPr>
        <w:t xml:space="preserve">For MediPharm Tel Aviv Ltd. (Provider)</w:t>
      </w:r>
    </w:p>
    <w:p>
      <w:pPr>
        <w:pStyle w:val="BodyText"/>
      </w:pPr>
      <w:r>
        <w:t xml:space="preserve">Name: Dr. Yossi Ben-David, Chief Pharmacist</w:t>
      </w:r>
    </w:p>
    <w:p>
      <w:pPr>
        <w:pStyle w:val="BodyText"/>
      </w:pPr>
      <w:r>
        <w:t xml:space="preserve">Date: _______________</w:t>
      </w:r>
    </w:p>
    <w:p>
      <w:pPr>
        <w:pStyle w:val="BodyText"/>
      </w:pPr>
      <w:r>
        <w:rPr>
          <w:bCs/>
          <w:b/>
        </w:rPr>
        <w:t xml:space="preserve">For Ashdod Regional Medical Center (Client)</w:t>
      </w:r>
    </w:p>
    <w:p>
      <w:pPr>
        <w:pStyle w:val="BodyText"/>
      </w:pPr>
      <w:r>
        <w:t xml:space="preserve">Name: Dr. Miriam Levi, Head of Pharmacy Dept.</w:t>
      </w:r>
    </w:p>
    <w:p>
      <w:pPr>
        <w:pStyle w:val="BodyText"/>
      </w:pPr>
      <w:r>
        <w:t xml:space="preserve">Date: _______________</w:t>
      </w:r>
    </w:p>
    <w:p>
      <w:pPr>
        <w:pStyle w:val="BodyText"/>
      </w:pPr>
      <w:r>
        <w:t xml:space="preserve">MediPharm Tel Aviv Ltd. | 142 Dizengoff Street, Tel Aviv-Yafo, Israel 6350000</w:t>
      </w:r>
    </w:p>
    <w:p>
      <w:pPr>
        <w:pStyle w:val="BodyText"/>
      </w:pPr>
      <w:r>
        <w:t xml:space="preserve">Quotation Estimate No. QTE-2025-TLV-0347 | Issued 12 June 2025 | Valid until 12 July 2025</w:t>
      </w:r>
    </w:p>
    <w:p>
      <w:pPr>
        <w:pStyle w:val="BodyText"/>
      </w:pPr>
      <w:r>
        <w:t xml:space="preserve">This document is a Quotation Estimate for Pharmacist services and is not a tax invoice. All prices are in ILS and subject to 18% Israeli VAT.</w:t>
      </w:r>
    </w:p>
    <w:p>
      <w:pPr>
        <w:pStyle w:val="BodyText"/>
      </w:pPr>
      <w:r>
        <w:t xml:space="preserve">© 2025 MediPharm Tel Aviv Ltd. All rights reserved. | Israel Ministry of Health License PH-2024-00871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Tel Aviv, Israel</dc:title>
  <dc:creator/>
  <dc:language>en</dc:language>
  <cp:keywords/>
  <dcterms:created xsi:type="dcterms:W3CDTF">2026-10-10T03:01:13Z</dcterms:created>
  <dcterms:modified xsi:type="dcterms:W3CDTF">2026-10-10T03:01:13Z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