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Pharmacist</w:t>
      </w:r>
      <w:r>
        <w:t xml:space="preserve"> </w:t>
      </w:r>
      <w:r>
        <w:t xml:space="preserve">Services</w:t>
      </w:r>
      <w:r>
        <w:t xml:space="preserve"> </w:t>
      </w:r>
      <w:r>
        <w:t xml:space="preserve">-</w:t>
      </w:r>
      <w:r>
        <w:t xml:space="preserve"> </w:t>
      </w:r>
      <w:r>
        <w:t xml:space="preserve">Japan</w:t>
      </w:r>
      <w:r>
        <w:t xml:space="preserve"> </w:t>
      </w:r>
      <w:r>
        <w:t xml:space="preserve">Kyoto</w:t>
      </w:r>
    </w:p>
    <w:bookmarkStart w:id="20" w:name="kyoto-pharmaceutical-solutions-co.-ltd."/>
    <w:p>
      <w:pPr>
        <w:pStyle w:val="Heading1"/>
      </w:pPr>
      <w:r>
        <w:t xml:space="preserve">Kyoto Pharmaceutical Solutions Co., Ltd.</w:t>
      </w:r>
    </w:p>
    <w:p>
      <w:pPr>
        <w:pStyle w:val="FirstParagraph"/>
      </w:pPr>
      <w:r>
        <w:t xml:space="preserve">12-34 Higashiyama-ku, Kyoto 605-0001, Japan</w:t>
      </w:r>
    </w:p>
    <w:p>
      <w:pPr>
        <w:pStyle w:val="BodyText"/>
      </w:pPr>
      <w:r>
        <w:t xml:space="preserve">Tel: +81-75-123-4567 | Email: quotes@kyotopharmsol.jp</w:t>
      </w:r>
    </w:p>
    <w:p>
      <w:pPr>
        <w:pStyle w:val="BodyText"/>
      </w:pPr>
      <w:r>
        <w:t xml:space="preserve">Corporation Number: 4010001234567</w:t>
      </w:r>
    </w:p>
    <w:bookmarkEnd w:id="20"/>
    <w:p>
      <w:pPr>
        <w:pStyle w:val="BodyText"/>
      </w:pPr>
      <w:r>
        <w:t xml:space="preserve">Document Ref: QTE-2025-KYO-0847</w:t>
      </w:r>
    </w:p>
    <w:p>
      <w:pPr>
        <w:pStyle w:val="BodyText"/>
      </w:pPr>
      <w:r>
        <w:t xml:space="preserve">Page 1 of 1</w:t>
      </w:r>
    </w:p>
    <w:bookmarkStart w:id="21" w:name="quotation-estimate"/>
    <w:p>
      <w:pPr>
        <w:pStyle w:val="Heading2"/>
      </w:pPr>
      <w:r>
        <w:t xml:space="preserve">QUOTATION ESTIMATE</w:t>
      </w:r>
    </w:p>
    <w:p>
      <w:pPr>
        <w:pStyle w:val="FirstParagraph"/>
      </w:pPr>
      <w:r>
        <w:t xml:space="preserve">Professional Pharmacist Services — Japan Kyoto Region</w:t>
      </w:r>
    </w:p>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QTE-2025-KYO-0847</w:t>
            </w:r>
          </w:p>
        </w:tc>
      </w:tr>
      <w:tr>
        <w:tc>
          <w:tcPr/>
          <w:p>
            <w:pPr>
              <w:pStyle w:val="Compact"/>
              <w:jc w:val="left"/>
            </w:pPr>
            <w:r>
              <w:t xml:space="preserve">Date of Issue</w:t>
            </w:r>
          </w:p>
        </w:tc>
        <w:tc>
          <w:tcPr/>
          <w:p>
            <w:pPr>
              <w:pStyle w:val="Compact"/>
              <w:jc w:val="left"/>
            </w:pPr>
            <w:r>
              <w:t xml:space="preserve">June 15, 2025</w:t>
            </w:r>
          </w:p>
        </w:tc>
      </w:tr>
      <w:tr>
        <w:tc>
          <w:tcPr/>
          <w:p>
            <w:pPr>
              <w:pStyle w:val="Compact"/>
              <w:jc w:val="left"/>
            </w:pPr>
            <w:r>
              <w:t xml:space="preserve">Valid Until</w:t>
            </w:r>
          </w:p>
        </w:tc>
        <w:tc>
          <w:tcPr/>
          <w:p>
            <w:pPr>
              <w:pStyle w:val="Compact"/>
              <w:jc w:val="left"/>
            </w:pPr>
            <w:r>
              <w:t xml:space="preserve">July 15, 2025 (30 days from issue date)</w:t>
            </w:r>
          </w:p>
        </w:tc>
      </w:tr>
      <w:tr>
        <w:tc>
          <w:tcPr/>
          <w:p>
            <w:pPr>
              <w:pStyle w:val="Compact"/>
              <w:jc w:val="left"/>
            </w:pPr>
            <w:r>
              <w:t xml:space="preserve">Prepared For</w:t>
            </w:r>
          </w:p>
        </w:tc>
        <w:tc>
          <w:tcPr/>
          <w:p>
            <w:pPr>
              <w:pStyle w:val="Compact"/>
              <w:jc w:val="left"/>
            </w:pPr>
            <w:r>
              <w:t xml:space="preserve">Arashiyama Community Health Clinic, 56-78 Arashiyama, Nishikyo-ku, Kyoto, Japan</w:t>
            </w:r>
          </w:p>
        </w:tc>
      </w:tr>
      <w:tr>
        <w:tc>
          <w:tcPr/>
          <w:p>
            <w:pPr>
              <w:pStyle w:val="Compact"/>
              <w:jc w:val="left"/>
            </w:pPr>
            <w:r>
              <w:t xml:space="preserve">Prepared By</w:t>
            </w:r>
          </w:p>
        </w:tc>
        <w:tc>
          <w:tcPr/>
          <w:p>
            <w:pPr>
              <w:pStyle w:val="Compact"/>
              <w:jc w:val="left"/>
            </w:pPr>
            <w:r>
              <w:t xml:space="preserve">Dr. Tanaka Hiroshi, Senior Consultant — Kyoto Pharmaceutical Solutions Co., Ltd.</w:t>
            </w:r>
          </w:p>
        </w:tc>
      </w:tr>
      <w:tr>
        <w:tc>
          <w:tcPr/>
          <w:p>
            <w:pPr>
              <w:pStyle w:val="Compact"/>
              <w:jc w:val="left"/>
            </w:pPr>
            <w:r>
              <w:t xml:space="preserve">Service Location</w:t>
            </w:r>
          </w:p>
        </w:tc>
        <w:tc>
          <w:tcPr/>
          <w:p>
            <w:pPr>
              <w:pStyle w:val="Compact"/>
              <w:jc w:val="left"/>
            </w:pPr>
            <w:r>
              <w:t xml:space="preserve">Japan Kyoto — Higashiyama-ku and Nishikyo-ku Districts</w:t>
            </w:r>
          </w:p>
        </w:tc>
      </w:tr>
    </w:tbl>
    <w:bookmarkStart w:id="22" w:name="X2acf415440f621aadec1b22fd8e2e3fe1ec9acf"/>
    <w:p>
      <w:pPr>
        <w:pStyle w:val="Heading3"/>
      </w:pPr>
      <w:r>
        <w:t xml:space="preserve">1. Scope of Services — Pharmacist Engagement in Japan Kyoto</w:t>
      </w:r>
    </w:p>
    <w:p>
      <w:pPr>
        <w:pStyle w:val="FirstParagraph"/>
      </w:pPr>
      <w:r>
        <w:t xml:space="preserve">This Quotation Estimate is issued by Kyoto Pharmaceutical Solutions Co., Ltd. to provide a comprehensive and itemized cost breakdown for the engagement of a licensed</w:t>
      </w:r>
      <w:r>
        <w:t xml:space="preserve"> </w:t>
      </w:r>
      <w:r>
        <w:t xml:space="preserve">Pharmacist</w:t>
      </w:r>
      <w:r>
        <w:t xml:space="preserve"> </w:t>
      </w:r>
      <w:r>
        <w:t xml:space="preserve">to deliver professional pharmaceutical services within the</w:t>
      </w:r>
      <w:r>
        <w:t xml:space="preserve"> </w:t>
      </w:r>
      <w:r>
        <w:t xml:space="preserve">Japan Kyoto</w:t>
      </w:r>
      <w:r>
        <w:t xml:space="preserve"> </w:t>
      </w:r>
      <w:r>
        <w:t xml:space="preserve">metropolitan area. The Pharmacist will be responsible for medication management, patient counseling, prescription verification, drug interaction screening, and community health education programs across designated clinics and pharmacy outlets in Kyoto.</w:t>
      </w:r>
    </w:p>
    <w:p>
      <w:pPr>
        <w:pStyle w:val="BodyText"/>
      </w:pPr>
      <w:r>
        <w:t xml:space="preserve">The scope of this Quotation Estimate covers a twelve-month service period commencing upon mutual agreement. The Pharmacist shall operate in full compliance with the Japan Pharmaceutical Affairs Act (Yakugunin Kanri Hou) and all regulatory requirements set forth by the Kyoto Prefectural Board of Pharmacy. All services rendered under this Quotation Estimate are subject to the terms and conditions outlined in Section 5 below.</w:t>
      </w:r>
    </w:p>
    <w:bookmarkEnd w:id="22"/>
    <w:bookmarkStart w:id="23" w:name="itemized-cost-breakdown"/>
    <w:p>
      <w:pPr>
        <w:pStyle w:val="Heading3"/>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(JPY)</w:t>
            </w:r>
          </w:p>
        </w:tc>
        <w:tc>
          <w:tcPr/>
          <w:p>
            <w:pPr>
              <w:pStyle w:val="Compact"/>
              <w:jc w:val="left"/>
            </w:pPr>
            <w:r>
              <w:t xml:space="preserve">Amount (JPY)</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Full-time Pharmacist salary (monthly, including statutory allowances)</w:t>
            </w:r>
          </w:p>
        </w:tc>
        <w:tc>
          <w:tcPr/>
          <w:p>
            <w:pPr>
              <w:pStyle w:val="Compact"/>
              <w:jc w:val="left"/>
            </w:pPr>
            <w:r>
              <w:t xml:space="preserve">12 months</w:t>
            </w:r>
          </w:p>
        </w:tc>
        <w:tc>
          <w:tcPr/>
          <w:p>
            <w:pPr>
              <w:pStyle w:val="Compact"/>
              <w:jc w:val="left"/>
            </w:pPr>
            <w:r>
              <w:t xml:space="preserve">650,000</w:t>
            </w:r>
          </w:p>
        </w:tc>
        <w:tc>
          <w:tcPr/>
          <w:p>
            <w:pPr>
              <w:pStyle w:val="Compact"/>
              <w:jc w:val="left"/>
            </w:pPr>
            <w:r>
              <w:t xml:space="preserve">7,800,000</w:t>
            </w:r>
          </w:p>
        </w:tc>
        <w:tc>
          <w:tcPr/>
          <w:p>
            <w:pPr>
              <w:pStyle w:val="Compact"/>
              <w:jc w:val="left"/>
            </w:pPr>
            <w:r>
              <w:t xml:space="preserve">Includes housing and transport stipend for Japan Kyoto area</w:t>
            </w:r>
          </w:p>
        </w:tc>
      </w:tr>
      <w:tr>
        <w:tc>
          <w:tcPr/>
          <w:p>
            <w:pPr>
              <w:pStyle w:val="Compact"/>
              <w:jc w:val="left"/>
            </w:pPr>
            <w:r>
              <w:t xml:space="preserve">2</w:t>
            </w:r>
          </w:p>
        </w:tc>
        <w:tc>
          <w:tcPr/>
          <w:p>
            <w:pPr>
              <w:pStyle w:val="Compact"/>
              <w:jc w:val="left"/>
            </w:pPr>
            <w:r>
              <w:t xml:space="preserve">Pharmacist licensing renewal &amp; Kyoto Prefectural registration fees</w:t>
            </w:r>
          </w:p>
        </w:tc>
        <w:tc>
          <w:tcPr/>
          <w:p>
            <w:pPr>
              <w:pStyle w:val="Compact"/>
              <w:jc w:val="left"/>
            </w:pPr>
            <w:r>
              <w:t xml:space="preserve">1 year</w:t>
            </w:r>
          </w:p>
        </w:tc>
        <w:tc>
          <w:tcPr/>
          <w:p>
            <w:pPr>
              <w:pStyle w:val="Compact"/>
              <w:jc w:val="left"/>
            </w:pPr>
            <w:r>
              <w:t xml:space="preserve">45,000</w:t>
            </w:r>
          </w:p>
        </w:tc>
        <w:tc>
          <w:tcPr/>
          <w:p>
            <w:pPr>
              <w:pStyle w:val="Compact"/>
              <w:jc w:val="left"/>
            </w:pPr>
            <w:r>
              <w:t xml:space="preserve">45,000</w:t>
            </w:r>
          </w:p>
        </w:tc>
        <w:tc>
          <w:tcPr/>
          <w:p>
            <w:pPr>
              <w:pStyle w:val="Compact"/>
              <w:jc w:val="left"/>
            </w:pPr>
            <w:r>
              <w:t xml:space="preserve">One-time administrative cost</w:t>
            </w:r>
          </w:p>
        </w:tc>
      </w:tr>
      <w:tr>
        <w:tc>
          <w:tcPr/>
          <w:p>
            <w:pPr>
              <w:pStyle w:val="Compact"/>
              <w:jc w:val="left"/>
            </w:pPr>
            <w:r>
              <w:t xml:space="preserve">3</w:t>
            </w:r>
          </w:p>
        </w:tc>
        <w:tc>
          <w:tcPr/>
          <w:p>
            <w:pPr>
              <w:pStyle w:val="Compact"/>
              <w:jc w:val="left"/>
            </w:pPr>
            <w:r>
              <w:t xml:space="preserve">Professional liability insurance for Pharmacist (Japan standard coverage)</w:t>
            </w:r>
          </w:p>
        </w:tc>
        <w:tc>
          <w:tcPr/>
          <w:p>
            <w:pPr>
              <w:pStyle w:val="Compact"/>
              <w:jc w:val="left"/>
            </w:pPr>
            <w:r>
              <w:t xml:space="preserve">12 months</w:t>
            </w:r>
          </w:p>
        </w:tc>
        <w:tc>
          <w:tcPr/>
          <w:p>
            <w:pPr>
              <w:pStyle w:val="Compact"/>
              <w:jc w:val="left"/>
            </w:pPr>
            <w:r>
              <w:t xml:space="preserve">180,000</w:t>
            </w:r>
          </w:p>
        </w:tc>
        <w:tc>
          <w:tcPr/>
          <w:p>
            <w:pPr>
              <w:pStyle w:val="Compact"/>
              <w:jc w:val="left"/>
            </w:pPr>
            <w:r>
              <w:t xml:space="preserve">180,000</w:t>
            </w:r>
          </w:p>
        </w:tc>
        <w:tc>
          <w:tcPr/>
          <w:p>
            <w:pPr>
              <w:pStyle w:val="Compact"/>
              <w:jc w:val="left"/>
            </w:pPr>
            <w:r>
              <w:t xml:space="preserve">Covers malpractice and patient injury claims</w:t>
            </w:r>
          </w:p>
        </w:tc>
      </w:tr>
      <w:tr>
        <w:tc>
          <w:tcPr/>
          <w:p>
            <w:pPr>
              <w:pStyle w:val="Compact"/>
              <w:jc w:val="left"/>
            </w:pPr>
            <w:r>
              <w:t xml:space="preserve">4</w:t>
            </w:r>
          </w:p>
        </w:tc>
        <w:tc>
          <w:tcPr/>
          <w:p>
            <w:pPr>
              <w:pStyle w:val="Compact"/>
              <w:jc w:val="left"/>
            </w:pPr>
            <w:r>
              <w:t xml:space="preserve">Continuing education &amp; CPE credits (Pharmacist professional development)</w:t>
            </w:r>
          </w:p>
        </w:tc>
        <w:tc>
          <w:tcPr/>
          <w:p>
            <w:pPr>
              <w:pStyle w:val="Compact"/>
              <w:jc w:val="left"/>
            </w:pPr>
            <w:r>
              <w:t xml:space="preserve">12 months</w:t>
            </w:r>
          </w:p>
        </w:tc>
        <w:tc>
          <w:tcPr/>
          <w:p>
            <w:pPr>
              <w:pStyle w:val="Compact"/>
              <w:jc w:val="left"/>
            </w:pPr>
            <w:r>
              <w:t xml:space="preserve">96,000</w:t>
            </w:r>
          </w:p>
        </w:tc>
        <w:tc>
          <w:tcPr/>
          <w:p>
            <w:pPr>
              <w:pStyle w:val="Compact"/>
              <w:jc w:val="left"/>
            </w:pPr>
            <w:r>
              <w:t xml:space="preserve">96,000</w:t>
            </w:r>
          </w:p>
        </w:tc>
        <w:tc>
          <w:tcPr/>
          <w:p>
            <w:pPr>
              <w:pStyle w:val="Compact"/>
              <w:jc w:val="left"/>
            </w:pPr>
            <w:r>
              <w:t xml:space="preserve">Minimum 30 CPE hours per year as required in Japan</w:t>
            </w:r>
          </w:p>
        </w:tc>
      </w:tr>
      <w:tr>
        <w:tc>
          <w:tcPr/>
          <w:p>
            <w:pPr>
              <w:pStyle w:val="Compact"/>
              <w:jc w:val="left"/>
            </w:pPr>
            <w:r>
              <w:t xml:space="preserve">5</w:t>
            </w:r>
          </w:p>
        </w:tc>
        <w:tc>
          <w:tcPr/>
          <w:p>
            <w:pPr>
              <w:pStyle w:val="Compact"/>
              <w:jc w:val="left"/>
            </w:pPr>
            <w:r>
              <w:t xml:space="preserve">Pharmaceutical software &amp; inventory management system license</w:t>
            </w:r>
          </w:p>
        </w:tc>
        <w:tc>
          <w:tcPr/>
          <w:p>
            <w:pPr>
              <w:pStyle w:val="Compact"/>
              <w:jc w:val="left"/>
            </w:pPr>
            <w:r>
              <w:t xml:space="preserve">12 months</w:t>
            </w:r>
          </w:p>
        </w:tc>
        <w:tc>
          <w:tcPr/>
          <w:p>
            <w:pPr>
              <w:pStyle w:val="Compact"/>
              <w:jc w:val="left"/>
            </w:pPr>
            <w:r>
              <w:t xml:space="preserve">120,000</w:t>
            </w:r>
          </w:p>
        </w:tc>
        <w:tc>
          <w:tcPr/>
          <w:p>
            <w:pPr>
              <w:pStyle w:val="Compact"/>
              <w:jc w:val="left"/>
            </w:pPr>
            <w:r>
              <w:t xml:space="preserve">120,000</w:t>
            </w:r>
          </w:p>
        </w:tc>
        <w:tc>
          <w:tcPr/>
          <w:p>
            <w:pPr>
              <w:pStyle w:val="Compact"/>
              <w:jc w:val="left"/>
            </w:pPr>
            <w:r>
              <w:t xml:space="preserve">Includes Japan-specific drug database updates</w:t>
            </w:r>
          </w:p>
        </w:tc>
      </w:tr>
      <w:tr>
        <w:tc>
          <w:tcPr/>
          <w:p>
            <w:pPr>
              <w:pStyle w:val="Compact"/>
              <w:jc w:val="left"/>
            </w:pPr>
            <w:r>
              <w:t xml:space="preserve">6</w:t>
            </w:r>
          </w:p>
        </w:tc>
        <w:tc>
          <w:tcPr/>
          <w:p>
            <w:pPr>
              <w:pStyle w:val="Compact"/>
              <w:jc w:val="left"/>
            </w:pPr>
            <w:r>
              <w:t xml:space="preserve">Community health outreach program coordination (Japan Kyoto districts)</w:t>
            </w:r>
          </w:p>
        </w:tc>
        <w:tc>
          <w:tcPr/>
          <w:p>
            <w:pPr>
              <w:pStyle w:val="Compact"/>
              <w:jc w:val="left"/>
            </w:pPr>
            <w:r>
              <w:t xml:space="preserve">12 months</w:t>
            </w:r>
          </w:p>
        </w:tc>
        <w:tc>
          <w:tcPr/>
          <w:p>
            <w:pPr>
              <w:pStyle w:val="Compact"/>
              <w:jc w:val="left"/>
            </w:pPr>
            <w:r>
              <w:t xml:space="preserve">240,000</w:t>
            </w:r>
          </w:p>
        </w:tc>
        <w:tc>
          <w:tcPr/>
          <w:p>
            <w:pPr>
              <w:pStyle w:val="Compact"/>
              <w:jc w:val="left"/>
            </w:pPr>
            <w:r>
              <w:t xml:space="preserve">240,000</w:t>
            </w:r>
          </w:p>
        </w:tc>
        <w:tc>
          <w:tcPr/>
          <w:p>
            <w:pPr>
              <w:pStyle w:val="Compact"/>
              <w:jc w:val="left"/>
            </w:pPr>
            <w:r>
              <w:t xml:space="preserve">Monthly workshops in Higashiyama &amp; Nishikyo areas</w:t>
            </w:r>
          </w:p>
        </w:tc>
      </w:tr>
      <w:tr>
        <w:tc>
          <w:tcPr/>
          <w:p>
            <w:pPr>
              <w:pStyle w:val="Compact"/>
              <w:jc w:val="left"/>
            </w:pPr>
            <w:r>
              <w:t xml:space="preserve">7</w:t>
            </w:r>
          </w:p>
        </w:tc>
        <w:tc>
          <w:tcPr/>
          <w:p>
            <w:pPr>
              <w:pStyle w:val="Compact"/>
              <w:jc w:val="left"/>
            </w:pPr>
            <w:r>
              <w:t xml:space="preserve">Supervisory oversight &amp; compliance audit (quarterly)</w:t>
            </w:r>
          </w:p>
        </w:tc>
        <w:tc>
          <w:tcPr/>
          <w:p>
            <w:pPr>
              <w:pStyle w:val="Compact"/>
              <w:jc w:val="left"/>
            </w:pPr>
            <w:r>
              <w:t xml:space="preserve">4 quarters</w:t>
            </w:r>
          </w:p>
        </w:tc>
        <w:tc>
          <w:tcPr/>
          <w:p>
            <w:pPr>
              <w:pStyle w:val="Compact"/>
              <w:jc w:val="left"/>
            </w:pPr>
            <w:r>
              <w:t xml:space="preserve">75,000</w:t>
            </w:r>
          </w:p>
        </w:tc>
        <w:tc>
          <w:tcPr/>
          <w:p>
            <w:pPr>
              <w:pStyle w:val="Compact"/>
              <w:jc w:val="left"/>
            </w:pPr>
            <w:r>
              <w:t xml:space="preserve">300,000</w:t>
            </w:r>
          </w:p>
        </w:tc>
        <w:tc>
          <w:tcPr/>
          <w:p>
            <w:pPr>
              <w:pStyle w:val="Compact"/>
              <w:jc w:val="left"/>
            </w:pPr>
            <w:r>
              <w:t xml:space="preserve">Conducted by senior Pharmacist consultant</w:t>
            </w:r>
          </w:p>
        </w:tc>
      </w:tr>
      <w:tr>
        <w:tc>
          <w:tcPr/>
          <w:p>
            <w:pPr>
              <w:pStyle w:val="Compact"/>
              <w:jc w:val="left"/>
            </w:pPr>
            <w:r>
              <w:t xml:space="preserve">8</w:t>
            </w:r>
          </w:p>
        </w:tc>
        <w:tc>
          <w:tcPr/>
          <w:p>
            <w:pPr>
              <w:pStyle w:val="Compact"/>
              <w:jc w:val="left"/>
            </w:pPr>
            <w:r>
              <w:t xml:space="preserve">Emergency on-call Pharmacist coverage (weekends &amp; public holidays)</w:t>
            </w:r>
          </w:p>
        </w:tc>
        <w:tc>
          <w:tcPr/>
          <w:p>
            <w:pPr>
              <w:pStyle w:val="Compact"/>
              <w:jc w:val="left"/>
            </w:pPr>
            <w:r>
              <w:t xml:space="preserve">12 months</w:t>
            </w:r>
          </w:p>
        </w:tc>
        <w:tc>
          <w:tcPr/>
          <w:p>
            <w:pPr>
              <w:pStyle w:val="Compact"/>
              <w:jc w:val="left"/>
            </w:pPr>
            <w:r>
              <w:t xml:space="preserve">150,000</w:t>
            </w:r>
          </w:p>
        </w:tc>
        <w:tc>
          <w:tcPr/>
          <w:p>
            <w:pPr>
              <w:pStyle w:val="Compact"/>
              <w:jc w:val="left"/>
            </w:pPr>
            <w:r>
              <w:t xml:space="preserve">150,000</w:t>
            </w:r>
          </w:p>
        </w:tc>
        <w:tc>
          <w:tcPr/>
          <w:p>
            <w:pPr>
              <w:pStyle w:val="Compact"/>
              <w:jc w:val="left"/>
            </w:pPr>
            <w:r>
              <w:t xml:space="preserve">Approximately 52 weekend shifts per year</w:t>
            </w:r>
          </w:p>
        </w:tc>
      </w:tr>
      <w:tr>
        <w:tc>
          <w:tcPr>
            <w:gridSpan w:val="4"/>
          </w:tcPr>
          <w:p>
            <w:pPr>
              <w:pStyle w:val="Compact"/>
              <w:jc w:val="left"/>
            </w:pPr>
            <w:r>
              <w:t xml:space="preserve">TOTAL ESTIMATED COST (before tax)</w:t>
            </w:r>
          </w:p>
        </w:tc>
        <w:tc>
          <w:tcPr/>
          <w:p>
            <w:pPr>
              <w:pStyle w:val="Compact"/>
              <w:jc w:val="left"/>
            </w:pPr>
            <w:r>
              <w:t xml:space="preserve">9,931,000</w:t>
            </w:r>
          </w:p>
        </w:tc>
        <w:tc>
          <w:tcPr/>
          <w:p>
            <w:pPr>
              <w:pStyle w:val="Compact"/>
            </w:pPr>
          </w:p>
        </w:tc>
      </w:tr>
      <w:tr>
        <w:tc>
          <w:tcPr>
            <w:gridSpan w:val="4"/>
          </w:tcPr>
          <w:p>
            <w:pPr>
              <w:pStyle w:val="Compact"/>
              <w:jc w:val="left"/>
            </w:pPr>
            <w:r>
              <w:t xml:space="preserve">Consumption Tax (10%)</w:t>
            </w:r>
          </w:p>
        </w:tc>
        <w:tc>
          <w:tcPr/>
          <w:p>
            <w:pPr>
              <w:pStyle w:val="Compact"/>
              <w:jc w:val="left"/>
            </w:pPr>
            <w:r>
              <w:t xml:space="preserve">993,100</w:t>
            </w:r>
          </w:p>
        </w:tc>
        <w:tc>
          <w:tcPr/>
          <w:p>
            <w:pPr>
              <w:pStyle w:val="Compact"/>
            </w:pPr>
          </w:p>
        </w:tc>
      </w:tr>
      <w:tr>
        <w:tc>
          <w:tcPr>
            <w:gridSpan w:val="4"/>
          </w:tcPr>
          <w:p>
            <w:pPr>
              <w:pStyle w:val="Compact"/>
              <w:jc w:val="left"/>
            </w:pPr>
            <w:r>
              <w:t xml:space="preserve">GRAND TOTAL (JPY)</w:t>
            </w:r>
          </w:p>
        </w:tc>
        <w:tc>
          <w:tcPr/>
          <w:p>
            <w:pPr>
              <w:pStyle w:val="Compact"/>
              <w:jc w:val="left"/>
            </w:pPr>
            <w:r>
              <w:t xml:space="preserve">10,924,100</w:t>
            </w:r>
          </w:p>
        </w:tc>
        <w:tc>
          <w:tcPr/>
          <w:p>
            <w:pPr>
              <w:pStyle w:val="Compact"/>
            </w:pPr>
          </w:p>
        </w:tc>
      </w:tr>
    </w:tbl>
    <w:bookmarkEnd w:id="23"/>
    <w:bookmarkStart w:id="24" w:name="payment-terms"/>
    <w:p>
      <w:pPr>
        <w:pStyle w:val="Heading3"/>
      </w:pPr>
      <w:r>
        <w:t xml:space="preserve">3. Payment Terms</w:t>
      </w:r>
    </w:p>
    <w:p>
      <w:pPr>
        <w:pStyle w:val="FirstParagraph"/>
      </w:pPr>
      <w:r>
        <w:t xml:space="preserve">Payment for the services described in this Quotation Estimate shall be made in monthly installments of JPY 910,342 (inclusive of 10% consumption tax), due on the 5th business day of each month via bank transfer to the account designated by Kyoto Pharmaceutical Solutions Co., Ltd. The initial payment shall be due within 14 days of contract execution. A 1.5% late payment surcharge will apply to any installment not received within 10 days of the due date.</w:t>
      </w:r>
    </w:p>
    <w:bookmarkEnd w:id="24"/>
    <w:bookmarkStart w:id="25" w:name="assumptions-exclusions"/>
    <w:p>
      <w:pPr>
        <w:pStyle w:val="Heading3"/>
      </w:pPr>
      <w:r>
        <w:t xml:space="preserve">4. Assumptions &amp; Exclusions</w:t>
      </w:r>
    </w:p>
    <w:p>
      <w:pPr>
        <w:numPr>
          <w:ilvl w:val="0"/>
          <w:numId w:val="1001"/>
        </w:numPr>
        <w:pStyle w:val="Compact"/>
      </w:pPr>
      <w:r>
        <w:t xml:space="preserve">This Quotation Estimate assumes the Pharmacist will be based in the Japan Kyoto metropolitan area and will not require relocation from outside the Kansai region.</w:t>
      </w:r>
    </w:p>
    <w:p>
      <w:pPr>
        <w:numPr>
          <w:ilvl w:val="0"/>
          <w:numId w:val="1001"/>
        </w:numPr>
        <w:pStyle w:val="Compact"/>
      </w:pPr>
      <w:r>
        <w:t xml:space="preserve">Costs for pharmaceutical inventory, medical equipment, and facility rent are excluded from this Quotation Estimate and shall be borne separately by the client.</w:t>
      </w:r>
    </w:p>
    <w:p>
      <w:pPr>
        <w:numPr>
          <w:ilvl w:val="0"/>
          <w:numId w:val="1001"/>
        </w:numPr>
        <w:pStyle w:val="Compact"/>
      </w:pPr>
      <w:r>
        <w:t xml:space="preserve">Any additional services beyond the scope defined herein (e.g., specialized oncology pharmacy, pediatric formulary management) will be quoted separately via a supplementary Quotation Estimate.</w:t>
      </w:r>
    </w:p>
    <w:p>
      <w:pPr>
        <w:numPr>
          <w:ilvl w:val="0"/>
          <w:numId w:val="1001"/>
        </w:numPr>
        <w:pStyle w:val="Compact"/>
      </w:pPr>
      <w:r>
        <w:t xml:space="preserve">Exchange rate fluctuations do not apply as all costs are denominated in Japanese Yen (JPY).</w:t>
      </w:r>
    </w:p>
    <w:p>
      <w:pPr>
        <w:numPr>
          <w:ilvl w:val="0"/>
          <w:numId w:val="1001"/>
        </w:numPr>
        <w:pStyle w:val="Compact"/>
      </w:pPr>
      <w:r>
        <w:t xml:space="preserve">The Pharmacist is expected to work a standard 40-hour week (Monday to Friday, 9:00–17:30) with on-call availability as specified in Item 8.</w:t>
      </w:r>
    </w:p>
    <w:bookmarkEnd w:id="25"/>
    <w:bookmarkStart w:id="26" w:name="terms-conditions"/>
    <w:p>
      <w:pPr>
        <w:pStyle w:val="Heading3"/>
      </w:pPr>
      <w:r>
        <w:t xml:space="preserve">5. Terms &amp; Conditions</w:t>
      </w:r>
    </w:p>
    <w:p>
      <w:pPr>
        <w:numPr>
          <w:ilvl w:val="0"/>
          <w:numId w:val="1002"/>
        </w:numPr>
        <w:pStyle w:val="Compact"/>
      </w:pPr>
      <w:r>
        <w:t xml:space="preserve">This Quotation Estimate is valid for 30 calendar days from the date of issue. After the expiration date, all rates are subject to revision based on prevailing market conditions in Japan Kyoto.</w:t>
      </w:r>
    </w:p>
    <w:p>
      <w:pPr>
        <w:numPr>
          <w:ilvl w:val="0"/>
          <w:numId w:val="1002"/>
        </w:numPr>
        <w:pStyle w:val="Compact"/>
      </w:pPr>
      <w:r>
        <w:t xml:space="preserve">Acceptance of this Quotation Estimate constitutes a binding agreement between the parties. A formal service contract will be executed within 7 business days of acceptance.</w:t>
      </w:r>
    </w:p>
    <w:p>
      <w:pPr>
        <w:numPr>
          <w:ilvl w:val="0"/>
          <w:numId w:val="1002"/>
        </w:numPr>
        <w:pStyle w:val="Compact"/>
      </w:pPr>
      <w:r>
        <w:t xml:space="preserve">The Pharmacist engaged under this Quotation Estimate must hold a valid Japanese Pharmacist License (Yakushi Shoken) and be registered with the Kyoto Prefectural Board of Pharmacy prior to commencing duties.</w:t>
      </w:r>
    </w:p>
    <w:p>
      <w:pPr>
        <w:numPr>
          <w:ilvl w:val="0"/>
          <w:numId w:val="1002"/>
        </w:numPr>
        <w:pStyle w:val="Compact"/>
      </w:pPr>
      <w:r>
        <w:t xml:space="preserve">Either party may terminate the engagement with 60 days' written notice. In the event of early termination, a pro-rata refund of prepaid amounts will be issued, less any non-recoverable costs already incurred.</w:t>
      </w:r>
    </w:p>
    <w:p>
      <w:pPr>
        <w:numPr>
          <w:ilvl w:val="0"/>
          <w:numId w:val="1002"/>
        </w:numPr>
        <w:pStyle w:val="Compact"/>
      </w:pPr>
      <w:r>
        <w:t xml:space="preserve">All patient data and pharmaceutical records handled by the Pharmacist are subject to Japan's Act on the Protection of Personal Information (APPI) and the Medical Confidentiality provisions of the Pharmaceutical Affairs Act.</w:t>
      </w:r>
    </w:p>
    <w:p>
      <w:pPr>
        <w:numPr>
          <w:ilvl w:val="0"/>
          <w:numId w:val="1002"/>
        </w:numPr>
        <w:pStyle w:val="Compact"/>
      </w:pPr>
      <w:r>
        <w:t xml:space="preserve">Disputes arising from this Quotation Estimate shall be resolved through mediation in Kyoto, Japan, in accordance with the laws of the State of Japan.</w:t>
      </w:r>
    </w:p>
    <w:bookmarkEnd w:id="26"/>
    <w:bookmarkStart w:id="27" w:name="acceptance-authorization"/>
    <w:p>
      <w:pPr>
        <w:pStyle w:val="Heading3"/>
      </w:pPr>
      <w:r>
        <w:t xml:space="preserve">6. Acceptance &amp; Authorization</w:t>
      </w:r>
    </w:p>
    <w:p>
      <w:pPr>
        <w:pStyle w:val="FirstParagraph"/>
      </w:pPr>
      <w:r>
        <w:rPr>
          <w:bCs/>
          <w:b/>
        </w:rPr>
        <w:t xml:space="preserve">Prepared by (Supplier):</w:t>
      </w:r>
    </w:p>
    <w:p>
      <w:pPr>
        <w:pStyle w:val="BodyText"/>
      </w:pPr>
      <w:r>
        <w:t xml:space="preserve">Dr. Tanaka Hiroshi</w:t>
      </w:r>
      <w:r>
        <w:br/>
      </w:r>
      <w:r>
        <w:t xml:space="preserve">Senior Consultant</w:t>
      </w:r>
      <w:r>
        <w:br/>
      </w:r>
      <w:r>
        <w:t xml:space="preserve">Kyoto Pharmaceutical Solutions Co., Ltd.</w:t>
      </w:r>
      <w:r>
        <w:br/>
      </w:r>
      <w:r>
        <w:t xml:space="preserve">Date: _______________</w:t>
      </w:r>
    </w:p>
    <w:p>
      <w:pPr>
        <w:pStyle w:val="BodyText"/>
      </w:pPr>
      <w:r>
        <w:rPr>
          <w:bCs/>
          <w:b/>
        </w:rPr>
        <w:t xml:space="preserve">Accepted by (Client):</w:t>
      </w:r>
    </w:p>
    <w:p>
      <w:pPr>
        <w:pStyle w:val="BodyText"/>
      </w:pPr>
      <w:r>
        <w:t xml:space="preserve">Director / Authorized Signatory</w:t>
      </w:r>
      <w:r>
        <w:br/>
      </w:r>
      <w:r>
        <w:t xml:space="preserve">Arashiyama Community Health Clinic</w:t>
      </w:r>
      <w:r>
        <w:br/>
      </w:r>
      <w:r>
        <w:t xml:space="preserve">Japan Kyoto</w:t>
      </w:r>
      <w:r>
        <w:br/>
      </w:r>
      <w:r>
        <w:t xml:space="preserve">Date: _______________</w:t>
      </w:r>
    </w:p>
    <w:p>
      <w:pPr>
        <w:pStyle w:val="BodyText"/>
      </w:pPr>
      <w:r>
        <w:rPr>
          <w:bCs/>
          <w:b/>
        </w:rPr>
        <w:t xml:space="preserve">Important Notice:</w:t>
      </w:r>
      <w:r>
        <w:t xml:space="preserve"> </w:t>
      </w:r>
      <w:r>
        <w:t xml:space="preserve">This Quotation Estimate document is a non-binding preliminary cost estimate issued for the purpose of budget planning and service evaluation. It does not constitute a final contract until both parties have executed the formal service agreement. All figures are estimates based on current market rates in Japan Kyoto as of June 2025 and are subject to adjustment. For questions regarding this Quotation Estimate, please contact our office at +81-75-123-4567 or quotes@kyotopharmsol.jp. We appreciate the opportunity to provide professional Pharmacist services to the Japan Kyoto community.</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Pharmacist Services - Japan Kyoto</dc:title>
  <dc:creator/>
  <dc:language>en</dc:language>
  <cp:keywords/>
  <dcterms:created xsi:type="dcterms:W3CDTF">2026-10-10T01:06:37Z</dcterms:created>
  <dcterms:modified xsi:type="dcterms:W3CDTF">2026-10-10T01:06:37Z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