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Pharmacist</w:t>
      </w:r>
      <w:r>
        <w:t xml:space="preserve"> </w:t>
      </w:r>
      <w:r>
        <w:t xml:space="preserve">Services</w:t>
      </w:r>
      <w:r>
        <w:t xml:space="preserve"> </w:t>
      </w:r>
      <w:r>
        <w:t xml:space="preserve">-</w:t>
      </w:r>
      <w:r>
        <w:t xml:space="preserve"> </w:t>
      </w:r>
      <w:r>
        <w:t xml:space="preserve">Kenya</w:t>
      </w:r>
      <w:r>
        <w:t xml:space="preserve"> </w:t>
      </w:r>
      <w:r>
        <w:t xml:space="preserve">Nairobi</w:t>
      </w:r>
    </w:p>
    <w:bookmarkStart w:id="20" w:name="medicare-professional-services-ltd."/>
    <w:p>
      <w:pPr>
        <w:pStyle w:val="Heading1"/>
      </w:pPr>
      <w:r>
        <w:t xml:space="preserve">MediCare Professional Services Ltd.</w:t>
      </w:r>
    </w:p>
    <w:p>
      <w:pPr>
        <w:pStyle w:val="FirstParagraph"/>
      </w:pPr>
      <w:r>
        <w:t xml:space="preserve">P.O. Box 4521, Nairobi, Kenya</w:t>
      </w:r>
    </w:p>
    <w:p>
      <w:pPr>
        <w:pStyle w:val="BodyText"/>
      </w:pPr>
      <w:r>
        <w:t xml:space="preserve">Tel: +254 700 123 456 | Email: info@medicareks.co.ke</w:t>
      </w:r>
    </w:p>
    <w:p>
      <w:pPr>
        <w:pStyle w:val="BodyText"/>
      </w:pPr>
      <w:r>
        <w:t xml:space="preserve">Physical Address: 3rd Floor, Kenyatta Avenue, Nairobi CBD, Kenya</w:t>
      </w:r>
    </w:p>
    <w:bookmarkEnd w:id="20"/>
    <w:p>
      <w:pPr>
        <w:pStyle w:val="BodyText"/>
      </w:pPr>
      <w:r>
        <w:t xml:space="preserve">Quotation Estimate</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MPS/QE/2025/00847</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days)</w:t>
            </w:r>
          </w:p>
        </w:tc>
      </w:tr>
      <w:tr>
        <w:tc>
          <w:tcPr/>
          <w:p>
            <w:pPr>
              <w:pStyle w:val="Compact"/>
              <w:jc w:val="left"/>
            </w:pPr>
            <w:r>
              <w:t xml:space="preserve">Prepared For:</w:t>
            </w:r>
          </w:p>
        </w:tc>
        <w:tc>
          <w:tcPr/>
          <w:p>
            <w:pPr>
              <w:pStyle w:val="Compact"/>
              <w:jc w:val="left"/>
            </w:pPr>
            <w:r>
              <w:t xml:space="preserve">Dr. Amina Wanjiku – Procurement Manager, Nairobi County Health Facilities Authority</w:t>
            </w:r>
          </w:p>
        </w:tc>
      </w:tr>
      <w:tr>
        <w:tc>
          <w:tcPr/>
          <w:p>
            <w:pPr>
              <w:pStyle w:val="Compact"/>
              <w:jc w:val="left"/>
            </w:pPr>
            <w:r>
              <w:t xml:space="preserve">Client Address:</w:t>
            </w:r>
          </w:p>
        </w:tc>
        <w:tc>
          <w:tcPr/>
          <w:p>
            <w:pPr>
              <w:pStyle w:val="Compact"/>
              <w:jc w:val="left"/>
            </w:pPr>
            <w:r>
              <w:t xml:space="preserve">Ministry of Health Building, Moi Avenue, Nairobi, Kenya</w:t>
            </w:r>
          </w:p>
        </w:tc>
      </w:tr>
      <w:tr>
        <w:tc>
          <w:tcPr/>
          <w:p>
            <w:pPr>
              <w:pStyle w:val="Compact"/>
              <w:jc w:val="left"/>
            </w:pPr>
            <w:r>
              <w:t xml:space="preserve">Service Location:</w:t>
            </w:r>
          </w:p>
        </w:tc>
        <w:tc>
          <w:tcPr/>
          <w:p>
            <w:pPr>
              <w:pStyle w:val="Compact"/>
              <w:jc w:val="left"/>
            </w:pPr>
            <w:r>
              <w:t xml:space="preserve">Nairobi, Kenya – Multiple County Health Centres</w:t>
            </w:r>
          </w:p>
        </w:tc>
      </w:tr>
      <w:tr>
        <w:tc>
          <w:tcPr/>
          <w:p>
            <w:pPr>
              <w:pStyle w:val="Compact"/>
              <w:jc w:val="left"/>
            </w:pPr>
            <w:r>
              <w:t xml:space="preserve">Subject:</w:t>
            </w:r>
          </w:p>
        </w:tc>
        <w:tc>
          <w:tcPr/>
          <w:p>
            <w:pPr>
              <w:pStyle w:val="Compact"/>
              <w:jc w:val="left"/>
            </w:pPr>
            <w:r>
              <w:t xml:space="preserve">Engagement of a Registered Pharmacist for Clinical and Operational Support in Kenya Nairobi</w:t>
            </w:r>
          </w:p>
        </w:tc>
      </w:tr>
    </w:tbl>
    <w:p>
      <w:pPr>
        <w:pStyle w:val="BodyText"/>
      </w:pPr>
      <w:r>
        <w:t xml:space="preserve">1. Introduction and Purpose</w:t>
      </w:r>
    </w:p>
    <w:p>
      <w:pPr>
        <w:pStyle w:val="BodyText"/>
      </w:pPr>
      <w:r>
        <w:t xml:space="preserve">This</w:t>
      </w:r>
      <w:r>
        <w:t xml:space="preserve"> </w:t>
      </w:r>
      <w:r>
        <w:t xml:space="preserve">Quotation Estimate</w:t>
      </w:r>
      <w:r>
        <w:t xml:space="preserve"> </w:t>
      </w:r>
      <w:r>
        <w:t xml:space="preserve">is issued by MediCare Professional Services Ltd. in response to the formal request from Nairobi County Health Facilities Authority for the professional engagement of a qualified</w:t>
      </w:r>
      <w:r>
        <w:t xml:space="preserve"> </w:t>
      </w:r>
      <w:r>
        <w:t xml:space="preserve">Pharmacist</w:t>
      </w:r>
      <w:r>
        <w:t xml:space="preserve"> </w:t>
      </w:r>
      <w:r>
        <w:t xml:space="preserve">to provide comprehensive pharmaceutical services across selected health facilities in</w:t>
      </w:r>
      <w:r>
        <w:t xml:space="preserve"> </w:t>
      </w:r>
      <w:r>
        <w:t xml:space="preserve">Kenya Nairobi</w:t>
      </w:r>
      <w:r>
        <w:t xml:space="preserve">. The purpose of this document is to outline the scope of work, itemized costs, payment structure, and applicable terms governing the proposed engagement. All pricing in this Quotation Estimate is denominated in Kenyan Shillings (KES) and reflects current market rates for professional pharmaceutical services in the Nairobi metropolitan area.</w:t>
      </w:r>
    </w:p>
    <w:p>
      <w:pPr>
        <w:pStyle w:val="BodyText"/>
      </w:pPr>
      <w:r>
        <w:t xml:space="preserve">2. Scope of Services – Pharmacist Engagement</w:t>
      </w:r>
    </w:p>
    <w:p>
      <w:pPr>
        <w:pStyle w:val="BodyText"/>
      </w:pPr>
      <w:r>
        <w:t xml:space="preserve">The proposed</w:t>
      </w:r>
      <w:r>
        <w:t xml:space="preserve"> </w:t>
      </w:r>
      <w:r>
        <w:t xml:space="preserve">Pharmacist</w:t>
      </w:r>
      <w:r>
        <w:t xml:space="preserve"> </w:t>
      </w:r>
      <w:r>
        <w:t xml:space="preserve">is a fully registered practitioner with the Pharmacy and Poisons Board (PPB) of Kenya, holding a Bachelor of Pharmacy (B.Pharm) degree and a valid Practising Certificate. The Pharmacist will be deployed to provide the following services within the Nairobi region:</w:t>
      </w:r>
    </w:p>
    <w:p>
      <w:pPr>
        <w:numPr>
          <w:ilvl w:val="0"/>
          <w:numId w:val="1001"/>
        </w:numPr>
        <w:pStyle w:val="Compact"/>
      </w:pPr>
      <w:r>
        <w:t xml:space="preserve">Dispensing of prescribed medications in accordance with the Kenya National Formulary and clinical guidelines.</w:t>
      </w:r>
    </w:p>
    <w:p>
      <w:pPr>
        <w:numPr>
          <w:ilvl w:val="0"/>
          <w:numId w:val="1001"/>
        </w:numPr>
        <w:pStyle w:val="Compact"/>
      </w:pPr>
      <w:r>
        <w:t xml:space="preserve">Management and oversight of the pharmaceutical inventory, including procurement, storage, and expiry tracking of all medicines and medical supplies.</w:t>
      </w:r>
    </w:p>
    <w:p>
      <w:pPr>
        <w:numPr>
          <w:ilvl w:val="0"/>
          <w:numId w:val="1001"/>
        </w:numPr>
        <w:pStyle w:val="Compact"/>
      </w:pPr>
      <w:r>
        <w:t xml:space="preserve">Conducting patient counselling sessions on medication adherence, dosage schedules, and potential drug interactions.</w:t>
      </w:r>
    </w:p>
    <w:p>
      <w:pPr>
        <w:numPr>
          <w:ilvl w:val="0"/>
          <w:numId w:val="1001"/>
        </w:numPr>
        <w:pStyle w:val="Compact"/>
      </w:pPr>
      <w:r>
        <w:t xml:space="preserve">Preparing and submitting monthly pharmaceutical reports to the Nairobi County Health Management Team.</w:t>
      </w:r>
    </w:p>
    <w:p>
      <w:pPr>
        <w:numPr>
          <w:ilvl w:val="0"/>
          <w:numId w:val="1001"/>
        </w:numPr>
        <w:pStyle w:val="Compact"/>
      </w:pPr>
      <w:r>
        <w:t xml:space="preserve">Participating in antimicrobial stewardship programmes and infection control protocols as mandated by the Ministry of Health, Kenya.</w:t>
      </w:r>
    </w:p>
    <w:p>
      <w:pPr>
        <w:numPr>
          <w:ilvl w:val="0"/>
          <w:numId w:val="1001"/>
        </w:numPr>
        <w:pStyle w:val="Compact"/>
      </w:pPr>
      <w:r>
        <w:t xml:space="preserve">Providing technical support during emergency medical situations at the assigned health facility in Kenya Nairobi.</w:t>
      </w:r>
    </w:p>
    <w:p>
      <w:pPr>
        <w:numPr>
          <w:ilvl w:val="0"/>
          <w:numId w:val="1001"/>
        </w:numPr>
        <w:pStyle w:val="Compact"/>
      </w:pPr>
      <w:r>
        <w:t xml:space="preserve">Mentoring junior pharmacy technicians and supporting staff on best practices in pharmaceutical care.</w:t>
      </w:r>
    </w:p>
    <w:p>
      <w:pPr>
        <w:pStyle w:val="FirstParagraph"/>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 Rate (KES)</w:t>
            </w:r>
          </w:p>
        </w:tc>
        <w:tc>
          <w:tcPr/>
          <w:p>
            <w:pPr>
              <w:pStyle w:val="Compact"/>
              <w:jc w:val="left"/>
            </w:pPr>
            <w:r>
              <w:t xml:space="preserve">Total (KES)</w:t>
            </w:r>
          </w:p>
        </w:tc>
        <w:tc>
          <w:tcPr/>
          <w:p>
            <w:pPr>
              <w:pStyle w:val="Compact"/>
              <w:jc w:val="left"/>
            </w:pPr>
            <w:r>
              <w:t xml:space="preserve">Duration</w:t>
            </w:r>
          </w:p>
        </w:tc>
      </w:tr>
      <w:tr>
        <w:tc>
          <w:tcPr/>
          <w:p>
            <w:pPr>
              <w:pStyle w:val="Compact"/>
              <w:jc w:val="left"/>
            </w:pPr>
            <w:r>
              <w:t xml:space="preserve">1</w:t>
            </w:r>
          </w:p>
        </w:tc>
        <w:tc>
          <w:tcPr/>
          <w:p>
            <w:pPr>
              <w:pStyle w:val="Compact"/>
              <w:jc w:val="left"/>
            </w:pPr>
            <w:r>
              <w:t xml:space="preserve">Monthly Professional Fee – Registered Pharmacist (Full-time, 40 hrs/week)</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c>
          <w:tcPr/>
          <w:p>
            <w:pPr>
              <w:pStyle w:val="Compact"/>
              <w:jc w:val="left"/>
            </w:pPr>
            <w:r>
              <w:t xml:space="preserve">Per Month</w:t>
            </w:r>
          </w:p>
        </w:tc>
      </w:tr>
      <w:tr>
        <w:tc>
          <w:tcPr/>
          <w:p>
            <w:pPr>
              <w:pStyle w:val="Compact"/>
              <w:jc w:val="left"/>
            </w:pPr>
            <w:r>
              <w:t xml:space="preserve">2</w:t>
            </w:r>
          </w:p>
        </w:tc>
        <w:tc>
          <w:tcPr/>
          <w:p>
            <w:pPr>
              <w:pStyle w:val="Compact"/>
              <w:jc w:val="left"/>
            </w:pPr>
            <w:r>
              <w:t xml:space="preserve">Pharmacist Induction and Onboarding (PPB compliance, facility orientation, system access)</w:t>
            </w:r>
          </w:p>
        </w:tc>
        <w:tc>
          <w:tcPr/>
          <w:p>
            <w:pPr>
              <w:pStyle w:val="Compact"/>
              <w:jc w:val="left"/>
            </w:pPr>
            <w:r>
              <w:t xml:space="preserve">1</w:t>
            </w:r>
          </w:p>
        </w:tc>
        <w:tc>
          <w:tcPr/>
          <w:p>
            <w:pPr>
              <w:pStyle w:val="Compact"/>
              <w:jc w:val="left"/>
            </w:pPr>
            <w:r>
              <w:t xml:space="preserve">25,000</w:t>
            </w:r>
          </w:p>
        </w:tc>
        <w:tc>
          <w:tcPr/>
          <w:p>
            <w:pPr>
              <w:pStyle w:val="Compact"/>
              <w:jc w:val="left"/>
            </w:pPr>
            <w:r>
              <w:t xml:space="preserve">25,000</w:t>
            </w:r>
          </w:p>
        </w:tc>
        <w:tc>
          <w:tcPr/>
          <w:p>
            <w:pPr>
              <w:pStyle w:val="Compact"/>
              <w:jc w:val="left"/>
            </w:pPr>
            <w:r>
              <w:t xml:space="preserve">One-time</w:t>
            </w:r>
          </w:p>
        </w:tc>
      </w:tr>
      <w:tr>
        <w:tc>
          <w:tcPr/>
          <w:p>
            <w:pPr>
              <w:pStyle w:val="Compact"/>
              <w:jc w:val="left"/>
            </w:pPr>
            <w:r>
              <w:t xml:space="preserve">3</w:t>
            </w:r>
          </w:p>
        </w:tc>
        <w:tc>
          <w:tcPr/>
          <w:p>
            <w:pPr>
              <w:pStyle w:val="Compact"/>
              <w:jc w:val="left"/>
            </w:pPr>
            <w:r>
              <w:t xml:space="preserve">Pharmaceutical Inventory Audit and Reconciliation (initial assessment of all Nairobi facility stock)</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c>
          <w:tcPr/>
          <w:p>
            <w:pPr>
              <w:pStyle w:val="Compact"/>
              <w:jc w:val="left"/>
            </w:pPr>
            <w:r>
              <w:t xml:space="preserve">One-time</w:t>
            </w:r>
          </w:p>
        </w:tc>
      </w:tr>
      <w:tr>
        <w:tc>
          <w:tcPr/>
          <w:p>
            <w:pPr>
              <w:pStyle w:val="Compact"/>
              <w:jc w:val="left"/>
            </w:pPr>
            <w:r>
              <w:t xml:space="preserve">4</w:t>
            </w:r>
          </w:p>
        </w:tc>
        <w:tc>
          <w:tcPr/>
          <w:p>
            <w:pPr>
              <w:pStyle w:val="Compact"/>
              <w:jc w:val="left"/>
            </w:pPr>
            <w:r>
              <w:t xml:space="preserve">Patient Counselling Programme Setup (materials, signage, scheduling system)</w:t>
            </w:r>
          </w:p>
        </w:tc>
        <w:tc>
          <w:tcPr/>
          <w:p>
            <w:pPr>
              <w:pStyle w:val="Compact"/>
              <w:jc w:val="left"/>
            </w:pPr>
            <w:r>
              <w:t xml:space="preserve">1</w:t>
            </w:r>
          </w:p>
        </w:tc>
        <w:tc>
          <w:tcPr/>
          <w:p>
            <w:pPr>
              <w:pStyle w:val="Compact"/>
              <w:jc w:val="left"/>
            </w:pPr>
            <w:r>
              <w:t xml:space="preserve">30,000</w:t>
            </w:r>
          </w:p>
        </w:tc>
        <w:tc>
          <w:tcPr/>
          <w:p>
            <w:pPr>
              <w:pStyle w:val="Compact"/>
              <w:jc w:val="left"/>
            </w:pPr>
            <w:r>
              <w:t xml:space="preserve">30,000</w:t>
            </w:r>
          </w:p>
        </w:tc>
        <w:tc>
          <w:tcPr/>
          <w:p>
            <w:pPr>
              <w:pStyle w:val="Compact"/>
              <w:jc w:val="left"/>
            </w:pPr>
            <w:r>
              <w:t xml:space="preserve">One-time</w:t>
            </w:r>
          </w:p>
        </w:tc>
      </w:tr>
      <w:tr>
        <w:tc>
          <w:tcPr/>
          <w:p>
            <w:pPr>
              <w:pStyle w:val="Compact"/>
              <w:jc w:val="left"/>
            </w:pPr>
            <w:r>
              <w:t xml:space="preserve">5</w:t>
            </w:r>
          </w:p>
        </w:tc>
        <w:tc>
          <w:tcPr/>
          <w:p>
            <w:pPr>
              <w:pStyle w:val="Compact"/>
              <w:jc w:val="left"/>
            </w:pPr>
            <w:r>
              <w:t xml:space="preserve">Monthly Pharmaceutical Reporting and Data Entry (submission to Nairobi County HMT)</w:t>
            </w:r>
          </w:p>
        </w:tc>
        <w:tc>
          <w:tcPr/>
          <w:p>
            <w:pPr>
              <w:pStyle w:val="Compact"/>
              <w:jc w:val="left"/>
            </w:pPr>
            <w:r>
              <w:t xml:space="preserve">12</w:t>
            </w:r>
          </w:p>
        </w:tc>
        <w:tc>
          <w:tcPr/>
          <w:p>
            <w:pPr>
              <w:pStyle w:val="Compact"/>
              <w:jc w:val="left"/>
            </w:pPr>
            <w:r>
              <w:t xml:space="preserve">8,000</w:t>
            </w:r>
          </w:p>
        </w:tc>
        <w:tc>
          <w:tcPr/>
          <w:p>
            <w:pPr>
              <w:pStyle w:val="Compact"/>
              <w:jc w:val="left"/>
            </w:pPr>
            <w:r>
              <w:t xml:space="preserve">96,000</w:t>
            </w:r>
          </w:p>
        </w:tc>
        <w:tc>
          <w:tcPr/>
          <w:p>
            <w:pPr>
              <w:pStyle w:val="Compact"/>
              <w:jc w:val="left"/>
            </w:pPr>
            <w:r>
              <w:t xml:space="preserve">12 Months</w:t>
            </w:r>
          </w:p>
        </w:tc>
      </w:tr>
      <w:tr>
        <w:tc>
          <w:tcPr/>
          <w:p>
            <w:pPr>
              <w:pStyle w:val="Compact"/>
              <w:jc w:val="left"/>
            </w:pPr>
            <w:r>
              <w:t xml:space="preserve">6</w:t>
            </w:r>
          </w:p>
        </w:tc>
        <w:tc>
          <w:tcPr/>
          <w:p>
            <w:pPr>
              <w:pStyle w:val="Compact"/>
              <w:jc w:val="left"/>
            </w:pPr>
            <w:r>
              <w:t xml:space="preserve">Antimicrobial Stewardship Workshop (quarterly, for facility staff in Kenya Nairobi)</w:t>
            </w:r>
          </w:p>
        </w:tc>
        <w:tc>
          <w:tcPr/>
          <w:p>
            <w:pPr>
              <w:pStyle w:val="Compact"/>
              <w:jc w:val="left"/>
            </w:pPr>
            <w:r>
              <w:t xml:space="preserve">4</w:t>
            </w:r>
          </w:p>
        </w:tc>
        <w:tc>
          <w:tcPr/>
          <w:p>
            <w:pPr>
              <w:pStyle w:val="Compact"/>
              <w:jc w:val="left"/>
            </w:pPr>
            <w:r>
              <w:t xml:space="preserve">15,000</w:t>
            </w:r>
          </w:p>
        </w:tc>
        <w:tc>
          <w:tcPr/>
          <w:p>
            <w:pPr>
              <w:pStyle w:val="Compact"/>
              <w:jc w:val="left"/>
            </w:pPr>
            <w:r>
              <w:t xml:space="preserve">60,000</w:t>
            </w:r>
          </w:p>
        </w:tc>
        <w:tc>
          <w:tcPr/>
          <w:p>
            <w:pPr>
              <w:pStyle w:val="Compact"/>
              <w:jc w:val="left"/>
            </w:pPr>
            <w:r>
              <w:t xml:space="preserve">Quarterly</w:t>
            </w:r>
          </w:p>
        </w:tc>
      </w:tr>
      <w:tr>
        <w:tc>
          <w:tcPr/>
          <w:p>
            <w:pPr>
              <w:pStyle w:val="Compact"/>
              <w:jc w:val="left"/>
            </w:pPr>
            <w:r>
              <w:t xml:space="preserve">7</w:t>
            </w:r>
          </w:p>
        </w:tc>
        <w:tc>
          <w:tcPr/>
          <w:p>
            <w:pPr>
              <w:pStyle w:val="Compact"/>
              <w:jc w:val="left"/>
            </w:pPr>
            <w:r>
              <w:t xml:space="preserve">Emergency Call-Out Allowance (on-call Pharmacist availability, 24/7 coverage)</w:t>
            </w:r>
          </w:p>
        </w:tc>
        <w:tc>
          <w:tcPr/>
          <w:p>
            <w:pPr>
              <w:pStyle w:val="Compact"/>
              <w:jc w:val="left"/>
            </w:pPr>
            <w:r>
              <w:t xml:space="preserve">12</w:t>
            </w:r>
          </w:p>
        </w:tc>
        <w:tc>
          <w:tcPr/>
          <w:p>
            <w:pPr>
              <w:pStyle w:val="Compact"/>
              <w:jc w:val="left"/>
            </w:pPr>
            <w:r>
              <w:t xml:space="preserve">12,000</w:t>
            </w:r>
          </w:p>
        </w:tc>
        <w:tc>
          <w:tcPr/>
          <w:p>
            <w:pPr>
              <w:pStyle w:val="Compact"/>
              <w:jc w:val="left"/>
            </w:pPr>
            <w:r>
              <w:t xml:space="preserve">144,000</w:t>
            </w:r>
          </w:p>
        </w:tc>
        <w:tc>
          <w:tcPr/>
          <w:p>
            <w:pPr>
              <w:pStyle w:val="Compact"/>
              <w:jc w:val="left"/>
            </w:pPr>
            <w:r>
              <w:t xml:space="preserve">12 Months</w:t>
            </w:r>
          </w:p>
        </w:tc>
      </w:tr>
      <w:tr>
        <w:tc>
          <w:tcPr/>
          <w:p>
            <w:pPr>
              <w:pStyle w:val="Compact"/>
              <w:jc w:val="left"/>
            </w:pPr>
            <w:r>
              <w:t xml:space="preserve">8</w:t>
            </w:r>
          </w:p>
        </w:tc>
        <w:tc>
          <w:tcPr/>
          <w:p>
            <w:pPr>
              <w:pStyle w:val="Compact"/>
              <w:jc w:val="left"/>
            </w:pPr>
            <w:r>
              <w:t xml:space="preserve">Professional Indemnity Insurance (Pharmacist, per PPB requirements)</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c>
          <w:tcPr/>
          <w:p>
            <w:pPr>
              <w:pStyle w:val="Compact"/>
              <w:jc w:val="left"/>
            </w:pPr>
            <w:r>
              <w:t xml:space="preserve">Annual</w:t>
            </w:r>
          </w:p>
        </w:tc>
      </w:tr>
      <w:tr>
        <w:tc>
          <w:tcPr/>
          <w:p>
            <w:pPr>
              <w:pStyle w:val="Compact"/>
              <w:jc w:val="left"/>
            </w:pPr>
            <w:r>
              <w:t xml:space="preserve">9</w:t>
            </w:r>
          </w:p>
        </w:tc>
        <w:tc>
          <w:tcPr/>
          <w:p>
            <w:pPr>
              <w:pStyle w:val="Compact"/>
              <w:jc w:val="left"/>
            </w:pPr>
            <w:r>
              <w:t xml:space="preserve">Transport and Local Travel Allowance (within Nairobi metropolitan area)</w:t>
            </w:r>
          </w:p>
        </w:tc>
        <w:tc>
          <w:tcPr/>
          <w:p>
            <w:pPr>
              <w:pStyle w:val="Compact"/>
              <w:jc w:val="left"/>
            </w:pPr>
            <w:r>
              <w:t xml:space="preserve">12</w:t>
            </w:r>
          </w:p>
        </w:tc>
        <w:tc>
          <w:tcPr/>
          <w:p>
            <w:pPr>
              <w:pStyle w:val="Compact"/>
              <w:jc w:val="left"/>
            </w:pPr>
            <w:r>
              <w:t xml:space="preserve">10,000</w:t>
            </w:r>
          </w:p>
        </w:tc>
        <w:tc>
          <w:tcPr/>
          <w:p>
            <w:pPr>
              <w:pStyle w:val="Compact"/>
              <w:jc w:val="left"/>
            </w:pPr>
            <w:r>
              <w:t xml:space="preserve">120,000</w:t>
            </w:r>
          </w:p>
        </w:tc>
        <w:tc>
          <w:tcPr/>
          <w:p>
            <w:pPr>
              <w:pStyle w:val="Compact"/>
              <w:jc w:val="left"/>
            </w:pPr>
            <w:r>
              <w:t xml:space="preserve">12 Months</w:t>
            </w:r>
          </w:p>
        </w:tc>
      </w:tr>
      <w:tr>
        <w:tc>
          <w:tcPr/>
          <w:p>
            <w:pPr>
              <w:pStyle w:val="Compact"/>
              <w:jc w:val="left"/>
            </w:pPr>
            <w:r>
              <w:t xml:space="preserve">10</w:t>
            </w:r>
          </w:p>
        </w:tc>
        <w:tc>
          <w:tcPr/>
          <w:p>
            <w:pPr>
              <w:pStyle w:val="Compact"/>
              <w:jc w:val="left"/>
            </w:pPr>
            <w:r>
              <w:t xml:space="preserve">Administrative and Coordination Fee (MediCare Professional Services Ltd.)</w:t>
            </w:r>
          </w:p>
        </w:tc>
        <w:tc>
          <w:tcPr/>
          <w:p>
            <w:pPr>
              <w:pStyle w:val="Compact"/>
              <w:jc w:val="left"/>
            </w:pPr>
            <w:r>
              <w:t xml:space="preserve">1</w:t>
            </w:r>
          </w:p>
        </w:tc>
        <w:tc>
          <w:tcPr/>
          <w:p>
            <w:pPr>
              <w:pStyle w:val="Compact"/>
              <w:jc w:val="left"/>
            </w:pPr>
            <w:r>
              <w:t xml:space="preserve">50,000</w:t>
            </w:r>
          </w:p>
        </w:tc>
        <w:tc>
          <w:tcPr/>
          <w:p>
            <w:pPr>
              <w:pStyle w:val="Compact"/>
              <w:jc w:val="left"/>
            </w:pPr>
            <w:r>
              <w:t xml:space="preserve">50,000</w:t>
            </w:r>
          </w:p>
        </w:tc>
        <w:tc>
          <w:tcPr/>
          <w:p>
            <w:pPr>
              <w:pStyle w:val="Compact"/>
              <w:jc w:val="left"/>
            </w:pPr>
            <w:r>
              <w:t xml:space="preserve">One-time</w:t>
            </w:r>
          </w:p>
        </w:tc>
      </w:tr>
      <w:tr>
        <w:tc>
          <w:tcPr>
            <w:gridSpan w:val="4"/>
          </w:tcPr>
          <w:p>
            <w:pPr>
              <w:pStyle w:val="Compact"/>
              <w:jc w:val="right"/>
            </w:pPr>
            <w:r>
              <w:t xml:space="preserve">Subtotal (KES)</w:t>
            </w:r>
          </w:p>
        </w:tc>
        <w:tc>
          <w:tcPr/>
          <w:p>
            <w:pPr>
              <w:pStyle w:val="Compact"/>
              <w:jc w:val="left"/>
            </w:pPr>
            <w:r>
              <w:t xml:space="preserve">845,000</w:t>
            </w:r>
          </w:p>
        </w:tc>
        <w:tc>
          <w:tcPr/>
          <w:p>
            <w:pPr>
              <w:pStyle w:val="Compact"/>
            </w:pPr>
          </w:p>
        </w:tc>
      </w:tr>
      <w:tr>
        <w:tc>
          <w:tcPr>
            <w:gridSpan w:val="4"/>
          </w:tcPr>
          <w:p>
            <w:pPr>
              <w:pStyle w:val="Compact"/>
              <w:jc w:val="right"/>
            </w:pPr>
            <w:r>
              <w:t xml:space="preserve">VAT @ 16% (KES)</w:t>
            </w:r>
          </w:p>
        </w:tc>
        <w:tc>
          <w:tcPr/>
          <w:p>
            <w:pPr>
              <w:pStyle w:val="Compact"/>
              <w:jc w:val="left"/>
            </w:pPr>
            <w:r>
              <w:t xml:space="preserve">135,200</w:t>
            </w:r>
          </w:p>
        </w:tc>
        <w:tc>
          <w:tcPr/>
          <w:p>
            <w:pPr>
              <w:pStyle w:val="Compact"/>
            </w:pPr>
          </w:p>
        </w:tc>
      </w:tr>
      <w:tr>
        <w:tc>
          <w:tcPr>
            <w:gridSpan w:val="4"/>
          </w:tcPr>
          <w:p>
            <w:pPr>
              <w:pStyle w:val="Compact"/>
              <w:jc w:val="right"/>
            </w:pPr>
            <w:r>
              <w:t xml:space="preserve">GRAND TOTAL (KES)</w:t>
            </w:r>
          </w:p>
        </w:tc>
        <w:tc>
          <w:tcPr/>
          <w:p>
            <w:pPr>
              <w:pStyle w:val="Compact"/>
              <w:jc w:val="left"/>
            </w:pPr>
            <w:r>
              <w:t xml:space="preserve">980,200</w:t>
            </w:r>
          </w:p>
        </w:tc>
        <w:tc>
          <w:tcPr/>
          <w:p>
            <w:pPr>
              <w:pStyle w:val="Compact"/>
            </w:pPr>
          </w:p>
        </w:tc>
      </w:tr>
    </w:tbl>
    <w:p>
      <w:pPr>
        <w:pStyle w:val="BodyText"/>
      </w:pPr>
      <w:r>
        <w:t xml:space="preserve">4. Payment Terms</w:t>
      </w:r>
    </w:p>
    <w:p>
      <w:pPr>
        <w:pStyle w:val="BodyText"/>
      </w:pPr>
      <w:r>
        <w:t xml:space="preserve">Payment for the services outlined in this Quotation Estimate shall be made within thirty (30) days of the invoice date. The initial one-time costs (Items 2, 3, 4, and 10) are payable upon acceptance of this Quotation Estimate and prior to the Pharmacist's commencement of duties. Recurring monthly fees (Items 1, 5, 7, and 9) shall be invoiced on the first business day of each month. The client is requested to make payments via bank transfer to the account details provided on the invoice. Late payments shall attract a penalty of 2% per month as stipulated under the Kenya Public Procurement and Asset Disposal Act, 2015.</w:t>
      </w:r>
    </w:p>
    <w:p>
      <w:pPr>
        <w:pStyle w:val="BodyText"/>
      </w:pPr>
      <w:r>
        <w:t xml:space="preserve">5. Terms and Conditions</w:t>
      </w:r>
    </w:p>
    <w:p>
      <w:pPr>
        <w:numPr>
          <w:ilvl w:val="0"/>
          <w:numId w:val="1002"/>
        </w:numPr>
        <w:pStyle w:val="Compact"/>
      </w:pPr>
      <w:r>
        <w:t xml:space="preserve">This Quotation Estimate is valid for thirty (30) days from the date of issue. Beyond this period, prices may be subject to revision based on prevailing market conditions in Kenya Nairobi.</w:t>
      </w:r>
    </w:p>
    <w:p>
      <w:pPr>
        <w:numPr>
          <w:ilvl w:val="0"/>
          <w:numId w:val="1002"/>
        </w:numPr>
        <w:pStyle w:val="Compact"/>
      </w:pPr>
      <w:r>
        <w:t xml:space="preserve">The Pharmacist engaged under this Quotation Estimate must hold a current Practising Certificate issued by the Pharmacy and Poisons Board of Kenya and must comply with all professional and ethical standards set by the PPB.</w:t>
      </w:r>
    </w:p>
    <w:p>
      <w:pPr>
        <w:numPr>
          <w:ilvl w:val="0"/>
          <w:numId w:val="1002"/>
        </w:numPr>
        <w:pStyle w:val="Compact"/>
      </w:pPr>
      <w:r>
        <w:t xml:space="preserve">MediCare Professional Services Ltd. reserves the right to substitute the Pharmacist with an equally qualified professional in the event of illness, leave, or other unforeseen circumstances, with prior written notice to the client.</w:t>
      </w:r>
    </w:p>
    <w:p>
      <w:pPr>
        <w:numPr>
          <w:ilvl w:val="0"/>
          <w:numId w:val="1002"/>
        </w:numPr>
        <w:pStyle w:val="Compact"/>
      </w:pPr>
      <w:r>
        <w:t xml:space="preserve">All pharmaceutical data, patient records, and operational information handled by the Pharmacist shall be treated as strictly confidential in accordance with the Kenya Data Protection Act, 2019.</w:t>
      </w:r>
    </w:p>
    <w:p>
      <w:pPr>
        <w:numPr>
          <w:ilvl w:val="0"/>
          <w:numId w:val="1002"/>
        </w:numPr>
        <w:pStyle w:val="Compact"/>
      </w:pPr>
      <w:r>
        <w:t xml:space="preserve">The client agrees to provide a suitable working environment, including access to the pharmacy dispensary, storage facilities, and necessary IT systems at the assigned health facility in Nairobi.</w:t>
      </w:r>
    </w:p>
    <w:p>
      <w:pPr>
        <w:numPr>
          <w:ilvl w:val="0"/>
          <w:numId w:val="1002"/>
        </w:numPr>
        <w:pStyle w:val="Compact"/>
      </w:pPr>
      <w:r>
        <w:t xml:space="preserve">This Quotation Estimate does not constitute a binding contract until formally accepted in writing by both parties and countersigned by an authorized representative.</w:t>
      </w:r>
    </w:p>
    <w:p>
      <w:pPr>
        <w:numPr>
          <w:ilvl w:val="0"/>
          <w:numId w:val="1002"/>
        </w:numPr>
        <w:pStyle w:val="Compact"/>
      </w:pPr>
      <w:r>
        <w:t xml:space="preserve">Any disputes arising from this engagement shall be resolved through mediation in Nairobi, Kenya, in accordance with the laws of the Republic of Kenya.</w:t>
      </w:r>
    </w:p>
    <w:p>
      <w:pPr>
        <w:numPr>
          <w:ilvl w:val="0"/>
          <w:numId w:val="1002"/>
        </w:numPr>
        <w:pStyle w:val="Compact"/>
      </w:pPr>
      <w:r>
        <w:t xml:space="preserve">All services rendered shall comply with the Kenya National Formulary, the Pharmacy and Poisons Act (Cap. 244), and any applicable regulations issued by the Ministry of Health, Kenya.</w:t>
      </w:r>
    </w:p>
    <w:p>
      <w:pPr>
        <w:pStyle w:val="FirstParagraph"/>
      </w:pPr>
      <w:r>
        <w:t xml:space="preserve">6. Acceptance and Authorization</w:t>
      </w:r>
    </w:p>
    <w:p>
      <w:pPr>
        <w:pStyle w:val="BodyText"/>
      </w:pPr>
      <w:r>
        <w:t xml:space="preserve">By signing below, the client acknowledges receipt of this Quotation Estimate and agrees to the terms, conditions, and pricing outlined herein for the engagement of the Pharmacist in Kenya Nairobi.</w:t>
      </w:r>
    </w:p>
    <w:p>
      <w:pPr>
        <w:pStyle w:val="BodyText"/>
      </w:pPr>
      <w:r>
        <w:rPr>
          <w:bCs/>
          <w:b/>
        </w:rPr>
        <w:t xml:space="preserve">For and on behalf of:</w:t>
      </w:r>
      <w:r>
        <w:br/>
      </w:r>
      <w:r>
        <w:t xml:space="preserve">MediCare Professional Services Ltd.</w:t>
      </w:r>
      <w:r>
        <w:br/>
      </w:r>
      <w:r>
        <w:br/>
      </w:r>
      <w:r>
        <w:t xml:space="preserve">______________________________</w:t>
      </w:r>
      <w:r>
        <w:br/>
      </w:r>
      <w:r>
        <w:t xml:space="preserve">Name: Mr. David Mwangi</w:t>
      </w:r>
      <w:r>
        <w:br/>
      </w:r>
      <w:r>
        <w:t xml:space="preserve">Title: Managing Director</w:t>
      </w:r>
      <w:r>
        <w:br/>
      </w:r>
      <w:r>
        <w:t xml:space="preserve">Date: _______________</w:t>
      </w:r>
    </w:p>
    <w:p>
      <w:pPr>
        <w:pStyle w:val="BodyText"/>
      </w:pPr>
      <w:r>
        <w:rPr>
          <w:bCs/>
          <w:b/>
        </w:rPr>
        <w:t xml:space="preserve">Accepted by (Client):</w:t>
      </w:r>
      <w:r>
        <w:br/>
      </w:r>
      <w:r>
        <w:t xml:space="preserve">Nairobi County Health Facilities Authority</w:t>
      </w:r>
      <w:r>
        <w:br/>
      </w:r>
      <w:r>
        <w:br/>
      </w:r>
      <w:r>
        <w:t xml:space="preserve">______________________________</w:t>
      </w:r>
      <w:r>
        <w:br/>
      </w:r>
      <w:r>
        <w:t xml:space="preserve">Name: Dr. Amina Wanjiku</w:t>
      </w:r>
      <w:r>
        <w:br/>
      </w:r>
      <w:r>
        <w:t xml:space="preserve">Title: Procurement Manager</w:t>
      </w:r>
      <w:r>
        <w:br/>
      </w:r>
      <w:r>
        <w:t xml:space="preserve">Date: _______________</w:t>
      </w:r>
    </w:p>
    <w:p>
      <w:pPr>
        <w:pStyle w:val="BodyText"/>
      </w:pPr>
      <w:r>
        <w:t xml:space="preserve">MediCare Professional Services Ltd. | P.O. Box 4521, Nairobi, Kenya | Reg. No. 123456-789</w:t>
      </w:r>
    </w:p>
    <w:p>
      <w:pPr>
        <w:pStyle w:val="BodyText"/>
      </w:pPr>
      <w:r>
        <w:t xml:space="preserve">This Quotation Estimate is the property of MediCare Professional Services Ltd. and is intended solely for the named recipient. Unauthorized reproduction or distribution is prohibited.</w:t>
      </w:r>
    </w:p>
    <w:p>
      <w:pPr>
        <w:pStyle w:val="BodyText"/>
      </w:pPr>
      <w:r>
        <w:t xml:space="preserve">Document Reference: MPS/QE/2025/00847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Pharmacist Services - Kenya Nairobi</dc:title>
  <dc:creator/>
  <dc:language>en</dc:language>
  <cp:keywords/>
  <dcterms:created xsi:type="dcterms:W3CDTF">2026-10-10T02:31:04Z</dcterms:created>
  <dcterms:modified xsi:type="dcterms:W3CDTF">2026-10-10T02:31:04Z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