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quotation-estimate"/>
    <w:p>
      <w:pPr>
        <w:pStyle w:val="Heading1"/>
      </w:pPr>
      <w:r>
        <w:t xml:space="preserve">Quotation Estimate</w:t>
      </w:r>
    </w:p>
    <w:p>
      <w:pPr>
        <w:pStyle w:val="FirstParagraph"/>
      </w:pPr>
      <w:r>
        <w:rPr>
          <w:bCs/>
          <w:b/>
        </w:rPr>
        <w:t xml:space="preserve">MediPharm Professional Services LLC</w:t>
      </w:r>
    </w:p>
    <w:p>
      <w:pPr>
        <w:pStyle w:val="BodyText"/>
      </w:pPr>
      <w:r>
        <w:t xml:space="preserve">Office 12, Al Hamra Tower, Al Hamra Street, Kuwait City, State of Kuwait</w:t>
      </w:r>
    </w:p>
    <w:p>
      <w:pPr>
        <w:pStyle w:val="BodyText"/>
      </w:pPr>
      <w:r>
        <w:t xml:space="preserve">Tel: +965-2244-5566 | Email: quotations@medipharm-kw.com | CR: 118842</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QTE-KW-2025-04782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date of issue</w:t>
            </w:r>
          </w:p>
        </w:tc>
        <w:tc>
          <w:tcPr/>
          <w:p>
            <w:pPr>
              <w:pStyle w:val="Compact"/>
              <w:jc w:val="left"/>
            </w:pPr>
            <w:r>
              <w:t xml:space="preserve">Currency</w:t>
            </w:r>
          </w:p>
        </w:tc>
        <w:tc>
          <w:tcPr/>
          <w:p>
            <w:pPr>
              <w:pStyle w:val="Compact"/>
              <w:jc w:val="left"/>
            </w:pPr>
            <w:r>
              <w:t xml:space="preserve">Kuwaiti Dinar (KWD)</w:t>
            </w:r>
          </w:p>
        </w:tc>
      </w:tr>
      <w:tr>
        <w:tc>
          <w:tcPr/>
          <w:p>
            <w:pPr>
              <w:pStyle w:val="Compact"/>
              <w:jc w:val="left"/>
            </w:pPr>
            <w:r>
              <w:t xml:space="preserve">Prepared For</w:t>
            </w:r>
          </w:p>
        </w:tc>
        <w:tc>
          <w:tcPr/>
          <w:p>
            <w:pPr>
              <w:pStyle w:val="Compact"/>
              <w:jc w:val="left"/>
            </w:pPr>
            <w:r>
              <w:t xml:space="preserve">Al Noor Pharmacy Group, Salmiya, Kuwait City</w:t>
            </w:r>
          </w:p>
        </w:tc>
        <w:tc>
          <w:tcPr/>
          <w:p>
            <w:pPr>
              <w:pStyle w:val="Compact"/>
              <w:jc w:val="left"/>
            </w:pPr>
            <w:r>
              <w:t xml:space="preserve">Contact Person</w:t>
            </w:r>
          </w:p>
        </w:tc>
        <w:tc>
          <w:tcPr/>
          <w:p>
            <w:pPr>
              <w:pStyle w:val="Compact"/>
              <w:jc w:val="left"/>
            </w:pPr>
            <w:r>
              <w:t xml:space="preserve">Mr. Faisal Al-Sabah, Operations Director</w:t>
            </w:r>
          </w:p>
        </w:tc>
      </w:tr>
      <w:tr>
        <w:tc>
          <w:tcPr/>
          <w:p>
            <w:pPr>
              <w:pStyle w:val="Compact"/>
              <w:jc w:val="left"/>
            </w:pPr>
            <w:r>
              <w:t xml:space="preserve">Service Category</w:t>
            </w:r>
          </w:p>
        </w:tc>
        <w:tc>
          <w:tcPr/>
          <w:p>
            <w:pPr>
              <w:pStyle w:val="Compact"/>
              <w:jc w:val="left"/>
            </w:pPr>
            <w:r>
              <w:t xml:space="preserve">Professional Pharmacist Recruitment &amp; Placement</w:t>
            </w:r>
          </w:p>
        </w:tc>
        <w:tc>
          <w:tcPr/>
          <w:p>
            <w:pPr>
              <w:pStyle w:val="Compact"/>
              <w:jc w:val="left"/>
            </w:pPr>
            <w:r>
              <w:t xml:space="preserve">Location of Service</w:t>
            </w:r>
          </w:p>
        </w:tc>
        <w:tc>
          <w:tcPr/>
          <w:p>
            <w:pPr>
              <w:pStyle w:val="Compact"/>
              <w:jc w:val="left"/>
            </w:pPr>
            <w:r>
              <w:t xml:space="preserve">Kuwait City, State of Kuwait</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by MediPharm Professional Services LLC to provide a comprehensive cost breakdown for the recruitment, licensing, and placement of a qualified</w:t>
      </w:r>
      <w:r>
        <w:t xml:space="preserve"> </w:t>
      </w:r>
      <w:r>
        <w:t xml:space="preserve">Pharmacist</w:t>
      </w:r>
      <w:r>
        <w:t xml:space="preserve"> </w:t>
      </w:r>
      <w:r>
        <w:t xml:space="preserve">to serve at the client's retail pharmacy premises located in</w:t>
      </w:r>
      <w:r>
        <w:t xml:space="preserve"> </w:t>
      </w:r>
      <w:r>
        <w:t xml:space="preserve">Kuwait Kuwait City</w:t>
      </w:r>
      <w:r>
        <w:t xml:space="preserve">. The scope of this engagement covers all administrative, regulatory, and logistical requirements necessary to ensure the</w:t>
      </w:r>
      <w:r>
        <w:t xml:space="preserve"> </w:t>
      </w:r>
      <w:r>
        <w:t xml:space="preserve">Pharmacist</w:t>
      </w:r>
      <w:r>
        <w:t xml:space="preserve"> </w:t>
      </w:r>
      <w:r>
        <w:t xml:space="preserve">is fully authorized to practice under the Kuwait Ministry of Health (MOH) regulations and the Kuwait Pharmaceutical Society standards. This</w:t>
      </w:r>
      <w:r>
        <w:t xml:space="preserve"> </w:t>
      </w:r>
      <w:r>
        <w:t xml:space="preserve">Quotation Estimate</w:t>
      </w:r>
      <w:r>
        <w:t xml:space="preserve"> </w:t>
      </w:r>
      <w:r>
        <w:t xml:space="preserve">reflects current market rates as of June 2025 and is specific to operations within the</w:t>
      </w:r>
      <w:r>
        <w:t xml:space="preserve"> </w:t>
      </w:r>
      <w:r>
        <w:t xml:space="preserve">Kuwait Kuwait City</w:t>
      </w:r>
      <w:r>
        <w:t xml:space="preserve"> </w:t>
      </w:r>
      <w:r>
        <w:t xml:space="preserve">metropolitan area.</w:t>
      </w:r>
    </w:p>
    <w:bookmarkEnd w:id="21"/>
    <w:bookmarkStart w:id="22"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(KWD)</w:t>
            </w:r>
          </w:p>
        </w:tc>
        <w:tc>
          <w:tcPr/>
          <w:p>
            <w:pPr>
              <w:pStyle w:val="Compact"/>
              <w:jc w:val="left"/>
            </w:pPr>
            <w:r>
              <w:t xml:space="preserve">Total (KWD)</w:t>
            </w:r>
          </w:p>
        </w:tc>
      </w:tr>
      <w:tr>
        <w:tc>
          <w:tcPr/>
          <w:p>
            <w:pPr>
              <w:pStyle w:val="Compact"/>
              <w:jc w:val="left"/>
            </w:pPr>
            <w:r>
              <w:t xml:space="preserve">01</w:t>
            </w:r>
          </w:p>
        </w:tc>
        <w:tc>
          <w:tcPr/>
          <w:p>
            <w:pPr>
              <w:pStyle w:val="Compact"/>
              <w:jc w:val="left"/>
            </w:pPr>
            <w:r>
              <w:t xml:space="preserve">Recruitment and screening of a licensed Pharmacist with minimum 5 years of post-graduate experience in clinical and retail pharmacy</w:t>
            </w:r>
          </w:p>
        </w:tc>
        <w:tc>
          <w:tcPr/>
          <w:p>
            <w:pPr>
              <w:pStyle w:val="Compact"/>
              <w:jc w:val="left"/>
            </w:pPr>
            <w:r>
              <w:t xml:space="preserve">1 position</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02</w:t>
            </w:r>
          </w:p>
        </w:tc>
        <w:tc>
          <w:tcPr/>
          <w:p>
            <w:pPr>
              <w:pStyle w:val="Compact"/>
              <w:jc w:val="left"/>
            </w:pPr>
            <w:r>
              <w:t xml:space="preserve">Processing of Kuwait MOH professional license for the Pharmacist, including document attestation, medical fitness examination, and biometric registration in Kuwait City</w:t>
            </w:r>
          </w:p>
        </w:tc>
        <w:tc>
          <w:tcPr/>
          <w:p>
            <w:pPr>
              <w:pStyle w:val="Compact"/>
              <w:jc w:val="left"/>
            </w:pPr>
            <w:r>
              <w:t xml:space="preserve">1 license</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03</w:t>
            </w:r>
          </w:p>
        </w:tc>
        <w:tc>
          <w:tcPr/>
          <w:p>
            <w:pPr>
              <w:pStyle w:val="Compact"/>
              <w:jc w:val="left"/>
            </w:pPr>
            <w:r>
              <w:t xml:space="preserve">Residency permit (Iqama) sponsorship and civil ID processing for the Pharmacist in Kuwait Kuwait City</w:t>
            </w:r>
          </w:p>
        </w:tc>
        <w:tc>
          <w:tcPr/>
          <w:p>
            <w:pPr>
              <w:pStyle w:val="Compact"/>
              <w:jc w:val="left"/>
            </w:pPr>
            <w:r>
              <w:t xml:space="preserve">1 permit</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04</w:t>
            </w:r>
          </w:p>
        </w:tc>
        <w:tc>
          <w:tcPr/>
          <w:p>
            <w:pPr>
              <w:pStyle w:val="Compact"/>
              <w:jc w:val="left"/>
            </w:pPr>
            <w:r>
              <w:t xml:space="preserve">Annual salary for the Pharmacist (12 months, inclusive of Kuwaiti social insurance contributions as mandated by local labor law)</w:t>
            </w:r>
          </w:p>
        </w:tc>
        <w:tc>
          <w:tcPr/>
          <w:p>
            <w:pPr>
              <w:pStyle w:val="Compact"/>
              <w:jc w:val="left"/>
            </w:pPr>
            <w:r>
              <w:t xml:space="preserve">12 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05</w:t>
            </w:r>
          </w:p>
        </w:tc>
        <w:tc>
          <w:tcPr/>
          <w:p>
            <w:pPr>
              <w:pStyle w:val="Compact"/>
              <w:jc w:val="left"/>
            </w:pPr>
            <w:r>
              <w:t xml:space="preserve">Accommodation allowance for the Pharmacist in a residential area within Kuwait City (furnished, 2-bedroom apartment)</w:t>
            </w:r>
          </w:p>
        </w:tc>
        <w:tc>
          <w:tcPr/>
          <w:p>
            <w:pPr>
              <w:pStyle w:val="Compact"/>
              <w:jc w:val="left"/>
            </w:pPr>
            <w:r>
              <w:t xml:space="preserve">12 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06</w:t>
            </w:r>
          </w:p>
        </w:tc>
        <w:tc>
          <w:tcPr/>
          <w:p>
            <w:pPr>
              <w:pStyle w:val="Compact"/>
              <w:jc w:val="left"/>
            </w:pPr>
            <w:r>
              <w:t xml:space="preserve">Annual round-trip airfare for the Pharmacist and one dependent (economy class, from country of origin to Kuwait International Airport)</w:t>
            </w:r>
          </w:p>
        </w:tc>
        <w:tc>
          <w:tcPr/>
          <w:p>
            <w:pPr>
              <w:pStyle w:val="Compact"/>
              <w:jc w:val="left"/>
            </w:pPr>
            <w:r>
              <w:t xml:space="preserve">2 tickets</w:t>
            </w:r>
          </w:p>
        </w:tc>
        <w:tc>
          <w:tcPr/>
          <w:p>
            <w:pPr>
              <w:pStyle w:val="Compact"/>
              <w:jc w:val="left"/>
            </w:pPr>
            <w:r>
              <w:t xml:space="preserve">380.000</w:t>
            </w:r>
          </w:p>
        </w:tc>
        <w:tc>
          <w:tcPr/>
          <w:p>
            <w:pPr>
              <w:pStyle w:val="Compact"/>
              <w:jc w:val="left"/>
            </w:pPr>
            <w:r>
              <w:t xml:space="preserve">760.000</w:t>
            </w:r>
          </w:p>
        </w:tc>
      </w:tr>
      <w:tr>
        <w:tc>
          <w:tcPr/>
          <w:p>
            <w:pPr>
              <w:pStyle w:val="Compact"/>
              <w:jc w:val="left"/>
            </w:pPr>
            <w:r>
              <w:t xml:space="preserve">07</w:t>
            </w:r>
          </w:p>
        </w:tc>
        <w:tc>
          <w:tcPr/>
          <w:p>
            <w:pPr>
              <w:pStyle w:val="Compact"/>
              <w:jc w:val="left"/>
            </w:pPr>
            <w:r>
              <w:t xml:space="preserve">Comprehensive health insurance coverage for the Pharmacist and family (Kuwait MOH-approved provider, valid in Kuwait City)</w:t>
            </w:r>
          </w:p>
        </w:tc>
        <w:tc>
          <w:tcPr/>
          <w:p>
            <w:pPr>
              <w:pStyle w:val="Compact"/>
              <w:jc w:val="left"/>
            </w:pPr>
            <w:r>
              <w:t xml:space="preserve">12 months</w:t>
            </w:r>
          </w:p>
        </w:tc>
        <w:tc>
          <w:tcPr/>
          <w:p>
            <w:pPr>
              <w:pStyle w:val="Compact"/>
              <w:jc w:val="left"/>
            </w:pPr>
            <w:r>
              <w:t xml:space="preserve">210.000</w:t>
            </w:r>
          </w:p>
        </w:tc>
        <w:tc>
          <w:tcPr/>
          <w:p>
            <w:pPr>
              <w:pStyle w:val="Compact"/>
              <w:jc w:val="left"/>
            </w:pPr>
            <w:r>
              <w:t xml:space="preserve">2,520.000</w:t>
            </w:r>
          </w:p>
        </w:tc>
      </w:tr>
      <w:tr>
        <w:tc>
          <w:tcPr/>
          <w:p>
            <w:pPr>
              <w:pStyle w:val="Compact"/>
              <w:jc w:val="left"/>
            </w:pPr>
            <w:r>
              <w:t xml:space="preserve">08</w:t>
            </w:r>
          </w:p>
        </w:tc>
        <w:tc>
          <w:tcPr/>
          <w:p>
            <w:pPr>
              <w:pStyle w:val="Compact"/>
              <w:jc w:val="left"/>
            </w:pPr>
            <w:r>
              <w:t xml:space="preserve">Onboarding, orientation, and compliance training for the Pharmacist on Kuwait Pharmaceutical Society guidelines and Kuwait City pharmacy regulations</w:t>
            </w:r>
          </w:p>
        </w:tc>
        <w:tc>
          <w:tcPr/>
          <w:p>
            <w:pPr>
              <w:pStyle w:val="Compact"/>
              <w:jc w:val="left"/>
            </w:pPr>
            <w:r>
              <w:t xml:space="preserve">1 session</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09</w:t>
            </w:r>
          </w:p>
        </w:tc>
        <w:tc>
          <w:tcPr/>
          <w:p>
            <w:pPr>
              <w:pStyle w:val="Compact"/>
              <w:jc w:val="left"/>
            </w:pPr>
            <w:r>
              <w:t xml:space="preserve">Annual license renewal and continuing professional development (CPD) fee for the Pharmacist as required by the Kuwait MOH</w:t>
            </w:r>
          </w:p>
        </w:tc>
        <w:tc>
          <w:tcPr/>
          <w:p>
            <w:pPr>
              <w:pStyle w:val="Compact"/>
              <w:jc w:val="left"/>
            </w:pPr>
            <w:r>
              <w:t xml:space="preserve">1 year</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10</w:t>
            </w:r>
          </w:p>
        </w:tc>
        <w:tc>
          <w:tcPr/>
          <w:p>
            <w:pPr>
              <w:pStyle w:val="Compact"/>
              <w:jc w:val="left"/>
            </w:pPr>
            <w:r>
              <w:t xml:space="preserve">Administrative and project management fee for the full duration of this Quotation Estimate engagement</w:t>
            </w:r>
          </w:p>
        </w:tc>
        <w:tc>
          <w:tcPr/>
          <w:p>
            <w:pPr>
              <w:pStyle w:val="Compact"/>
              <w:jc w:val="left"/>
            </w:pPr>
            <w:r>
              <w:t xml:space="preserve">1 contract</w:t>
            </w:r>
          </w:p>
        </w:tc>
        <w:tc>
          <w:tcPr/>
          <w:p>
            <w:pPr>
              <w:pStyle w:val="Compact"/>
              <w:jc w:val="left"/>
            </w:pPr>
            <w:r>
              <w:t xml:space="preserve">1,500.000</w:t>
            </w:r>
          </w:p>
        </w:tc>
        <w:tc>
          <w:tcPr/>
          <w:p>
            <w:pPr>
              <w:pStyle w:val="Compact"/>
              <w:jc w:val="left"/>
            </w:pPr>
            <w:r>
              <w:t xml:space="preserve">1,500.000</w:t>
            </w:r>
          </w:p>
        </w:tc>
      </w:tr>
      <w:tr>
        <w:tc>
          <w:tcPr>
            <w:gridSpan w:val="4"/>
          </w:tcPr>
          <w:p>
            <w:pPr>
              <w:pStyle w:val="Compact"/>
              <w:jc w:val="right"/>
            </w:pPr>
            <w:r>
              <w:t xml:space="preserve">SUBTOTAL</w:t>
            </w:r>
          </w:p>
        </w:tc>
        <w:tc>
          <w:tcPr/>
          <w:p>
            <w:pPr>
              <w:pStyle w:val="Compact"/>
              <w:jc w:val="left"/>
            </w:pPr>
            <w:r>
              <w:t xml:space="preserve">35,820.000</w:t>
            </w:r>
          </w:p>
        </w:tc>
      </w:tr>
      <w:tr>
        <w:tc>
          <w:tcPr>
            <w:gridSpan w:val="4"/>
          </w:tcPr>
          <w:p>
            <w:pPr>
              <w:pStyle w:val="Compact"/>
              <w:jc w:val="right"/>
            </w:pPr>
            <w:r>
              <w:t xml:space="preserve">VAT (5% – Kuwait Standard Rate)</w:t>
            </w:r>
          </w:p>
        </w:tc>
        <w:tc>
          <w:tcPr/>
          <w:p>
            <w:pPr>
              <w:pStyle w:val="Compact"/>
              <w:jc w:val="left"/>
            </w:pPr>
            <w:r>
              <w:t xml:space="preserve">1,791.000</w:t>
            </w:r>
          </w:p>
        </w:tc>
      </w:tr>
      <w:tr>
        <w:tc>
          <w:tcPr>
            <w:gridSpan w:val="4"/>
          </w:tcPr>
          <w:p>
            <w:pPr>
              <w:pStyle w:val="Compact"/>
              <w:jc w:val="right"/>
            </w:pPr>
            <w:r>
              <w:t xml:space="preserve">GRAND TOTAL (KWD)</w:t>
            </w:r>
          </w:p>
        </w:tc>
        <w:tc>
          <w:tcPr/>
          <w:p>
            <w:pPr>
              <w:pStyle w:val="Compact"/>
              <w:jc w:val="left"/>
            </w:pPr>
            <w:r>
              <w:t xml:space="preserve">37,611.000</w:t>
            </w:r>
          </w:p>
        </w:tc>
      </w:tr>
    </w:tbl>
    <w:bookmarkEnd w:id="22"/>
    <w:bookmarkStart w:id="23" w:name="terms-and-conditions"/>
    <w:p>
      <w:pPr>
        <w:pStyle w:val="Heading2"/>
      </w:pPr>
      <w:r>
        <w:t xml:space="preserve">3. Terms and Conditions</w:t>
      </w:r>
    </w:p>
    <w:p>
      <w:pPr>
        <w:pStyle w:val="FirstParagraph"/>
      </w:pPr>
      <w:r>
        <w:rPr>
          <w:bCs/>
          <w:b/>
        </w:rPr>
        <w:t xml:space="preserve">3.1</w:t>
      </w:r>
      <w:r>
        <w:t xml:space="preserve"> </w:t>
      </w:r>
      <w:r>
        <w:t xml:space="preserve">This</w:t>
      </w:r>
      <w:r>
        <w:t xml:space="preserve"> </w:t>
      </w:r>
      <w:r>
        <w:t xml:space="preserve">Quotation Estimate</w:t>
      </w:r>
      <w:r>
        <w:t xml:space="preserve"> </w:t>
      </w:r>
      <w:r>
        <w:t xml:space="preserve">is valid for thirty (30) calendar days from the date of issue. Should the client wish to proceed after the validity period, a revised</w:t>
      </w:r>
      <w:r>
        <w:t xml:space="preserve"> </w:t>
      </w:r>
      <w:r>
        <w:t xml:space="preserve">Quotation Estimate</w:t>
      </w:r>
      <w:r>
        <w:t xml:space="preserve"> </w:t>
      </w:r>
      <w:r>
        <w:t xml:space="preserve">reflecting any market adjustments will be issued.</w:t>
      </w:r>
    </w:p>
    <w:p>
      <w:pPr>
        <w:pStyle w:val="BodyText"/>
      </w:pPr>
      <w:r>
        <w:rPr>
          <w:bCs/>
          <w:b/>
        </w:rPr>
        <w:t xml:space="preserve">3.2</w:t>
      </w:r>
      <w:r>
        <w:t xml:space="preserve"> </w:t>
      </w:r>
      <w:r>
        <w:t xml:space="preserve">All fees quoted are in Kuwaiti Dinars (KWD) and are inclusive of all applicable government levies, stamp duties, and regulatory charges within</w:t>
      </w:r>
      <w:r>
        <w:t xml:space="preserve"> </w:t>
      </w:r>
      <w:r>
        <w:t xml:space="preserve">Kuwait Kuwait City</w:t>
      </w:r>
      <w:r>
        <w:t xml:space="preserve"> </w:t>
      </w:r>
      <w:r>
        <w:t xml:space="preserve">unless otherwise stated.</w:t>
      </w:r>
    </w:p>
    <w:p>
      <w:pPr>
        <w:pStyle w:val="BodyText"/>
      </w:pPr>
      <w:r>
        <w:rPr>
          <w:bCs/>
          <w:b/>
        </w:rPr>
        <w:t xml:space="preserve">3.3</w:t>
      </w:r>
      <w:r>
        <w:t xml:space="preserve"> </w:t>
      </w:r>
      <w:r>
        <w:t xml:space="preserve">Payment terms: 40% advance upon acceptance of this</w:t>
      </w:r>
      <w:r>
        <w:t xml:space="preserve"> </w:t>
      </w:r>
      <w:r>
        <w:t xml:space="preserve">Quotation Estimate</w:t>
      </w:r>
      <w:r>
        <w:t xml:space="preserve">, 40% upon successful licensing and arrival of the</w:t>
      </w:r>
      <w:r>
        <w:t xml:space="preserve"> </w:t>
      </w:r>
      <w:r>
        <w:t xml:space="preserve">Pharmacist</w:t>
      </w:r>
      <w:r>
        <w:t xml:space="preserve"> </w:t>
      </w:r>
      <w:r>
        <w:t xml:space="preserve">in Kuwait City, and 20% upon completion of the first full month of service.</w:t>
      </w:r>
    </w:p>
    <w:p>
      <w:pPr>
        <w:pStyle w:val="BodyText"/>
      </w:pPr>
      <w:r>
        <w:rPr>
          <w:bCs/>
          <w:b/>
        </w:rPr>
        <w:t xml:space="preserve">3.4</w:t>
      </w:r>
      <w:r>
        <w:t xml:space="preserve"> </w:t>
      </w:r>
      <w:r>
        <w:t xml:space="preserve">The</w:t>
      </w:r>
      <w:r>
        <w:t xml:space="preserve"> </w:t>
      </w:r>
      <w:r>
        <w:t xml:space="preserve">Pharmacist</w:t>
      </w:r>
      <w:r>
        <w:t xml:space="preserve"> </w:t>
      </w:r>
      <w:r>
        <w:t xml:space="preserve">shall be subject to a minimum one-year service contract with the client. Early termination by the client prior to the completion of this period shall incur a penalty equal to 50% of the remaining contractual salary.</w:t>
      </w:r>
    </w:p>
    <w:p>
      <w:pPr>
        <w:pStyle w:val="BodyText"/>
      </w:pPr>
      <w:r>
        <w:rPr>
          <w:bCs/>
          <w:b/>
        </w:rPr>
        <w:t xml:space="preserve">3.5</w:t>
      </w:r>
      <w:r>
        <w:t xml:space="preserve"> </w:t>
      </w:r>
      <w:r>
        <w:t xml:space="preserve">MediPharm Professional Services LLC shall not be held liable for any delays caused by the Kuwait Ministry of Health, the Public Authority for Manpower (PAM), or any other governmental body in</w:t>
      </w:r>
      <w:r>
        <w:t xml:space="preserve"> </w:t>
      </w:r>
      <w:r>
        <w:t xml:space="preserve">Kuwait Kuwait City</w:t>
      </w:r>
      <w:r>
        <w:t xml:space="preserve"> </w:t>
      </w:r>
      <w:r>
        <w:t xml:space="preserve">during the licensing and permit processing stages.</w:t>
      </w:r>
    </w:p>
    <w:p>
      <w:pPr>
        <w:pStyle w:val="BodyText"/>
      </w:pPr>
      <w:r>
        <w:rPr>
          <w:bCs/>
          <w:b/>
        </w:rPr>
        <w:t xml:space="preserve">3.6</w:t>
      </w:r>
      <w:r>
        <w:t xml:space="preserve"> </w:t>
      </w:r>
      <w:r>
        <w:t xml:space="preserve">This</w:t>
      </w:r>
      <w:r>
        <w:t xml:space="preserve"> </w:t>
      </w:r>
      <w:r>
        <w:t xml:space="preserve">Quotation Estimate</w:t>
      </w:r>
      <w:r>
        <w:t xml:space="preserve"> </w:t>
      </w:r>
      <w:r>
        <w:t xml:space="preserve">does not constitute a binding contract. A formal service agreement shall be executed by both parties prior to the commencement of any work or financial commitment.</w:t>
      </w:r>
    </w:p>
    <w:p>
      <w:pPr>
        <w:pStyle w:val="BodyText"/>
      </w:pPr>
      <w:r>
        <w:rPr>
          <w:bCs/>
          <w:b/>
        </w:rPr>
        <w:t xml:space="preserve">3.7</w:t>
      </w:r>
      <w:r>
        <w:t xml:space="preserve"> </w:t>
      </w:r>
      <w:r>
        <w:t xml:space="preserve">All personal data collected in connection with this</w:t>
      </w:r>
      <w:r>
        <w:t xml:space="preserve"> </w:t>
      </w:r>
      <w:r>
        <w:t xml:space="preserve">Quotation Estimate</w:t>
      </w:r>
      <w:r>
        <w:t xml:space="preserve"> </w:t>
      </w:r>
      <w:r>
        <w:t xml:space="preserve">and the subsequent</w:t>
      </w:r>
      <w:r>
        <w:t xml:space="preserve"> </w:t>
      </w:r>
      <w:r>
        <w:t xml:space="preserve">Pharmacist</w:t>
      </w:r>
      <w:r>
        <w:t xml:space="preserve"> </w:t>
      </w:r>
      <w:r>
        <w:t xml:space="preserve">placement shall be handled in accordance with the Kuwait Personal Data Protection Law (Law No. 30 of 2016).</w:t>
      </w:r>
    </w:p>
    <w:p>
      <w:pPr>
        <w:pStyle w:val="BodyText"/>
      </w:pPr>
      <w:r>
        <w:rPr>
          <w:bCs/>
          <w:b/>
        </w:rPr>
        <w:t xml:space="preserve">Note:</w:t>
      </w:r>
      <w:r>
        <w:t xml:space="preserve"> </w:t>
      </w:r>
      <w:r>
        <w:t xml:space="preserve">The client is advised to verify that the selected</w:t>
      </w:r>
      <w:r>
        <w:t xml:space="preserve"> </w:t>
      </w:r>
      <w:r>
        <w:t xml:space="preserve">Pharmacist</w:t>
      </w:r>
      <w:r>
        <w:t xml:space="preserve"> </w:t>
      </w:r>
      <w:r>
        <w:t xml:space="preserve">candidate holds a recognized pharmacy degree and a valid license from their home country's regulatory authority. All original documents must be presented for attestation at the Kuwait Embassy in the candidate's country of origin before travel to</w:t>
      </w:r>
      <w:r>
        <w:t xml:space="preserve"> </w:t>
      </w:r>
      <w:r>
        <w:t xml:space="preserve">Kuwait Kuwait City</w:t>
      </w:r>
      <w:r>
        <w:t xml:space="preserve">. Failure to provide complete documentation may result in additional costs not covered by this</w:t>
      </w:r>
      <w:r>
        <w:t xml:space="preserve"> </w:t>
      </w:r>
      <w:r>
        <w:t xml:space="preserve">Quotation Estimate</w:t>
      </w:r>
      <w:r>
        <w:t xml:space="preserve">.</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recruitment and placement of a</w:t>
      </w:r>
      <w:r>
        <w:t xml:space="preserve"> </w:t>
      </w:r>
      <w:r>
        <w:t xml:space="preserve">Pharmacist</w:t>
      </w:r>
      <w:r>
        <w:t xml:space="preserve"> </w:t>
      </w:r>
      <w:r>
        <w:t xml:space="preserve">in</w:t>
      </w:r>
      <w:r>
        <w:t xml:space="preserve"> </w:t>
      </w:r>
      <w:r>
        <w:t xml:space="preserve">Kuwait Kuwait City</w:t>
      </w:r>
      <w:r>
        <w:t xml:space="preserve">.</w:t>
      </w:r>
    </w:p>
    <w:p>
      <w:pPr>
        <w:pStyle w:val="BodyText"/>
      </w:pPr>
      <w:r>
        <w:rPr>
          <w:bCs/>
          <w:b/>
        </w:rPr>
        <w:t xml:space="preserve">For MediPharm Professional Services LLC</w:t>
      </w:r>
    </w:p>
    <w:p>
      <w:pPr>
        <w:pStyle w:val="BodyText"/>
      </w:pPr>
      <w:r>
        <w:t xml:space="preserve">Name: Dr. Layla Al-Mutawa</w:t>
      </w:r>
      <w:r>
        <w:br/>
      </w:r>
      <w:r>
        <w:t xml:space="preserve">Title: Managing Director</w:t>
      </w:r>
      <w:r>
        <w:br/>
      </w:r>
      <w:r>
        <w:t xml:space="preserve">Signature &amp; Company Stamp: _______________</w:t>
      </w:r>
    </w:p>
    <w:p>
      <w:pPr>
        <w:pStyle w:val="BodyText"/>
      </w:pPr>
      <w:r>
        <w:rPr>
          <w:bCs/>
          <w:b/>
        </w:rPr>
        <w:t xml:space="preserve">For Al Noor Pharmacy Group (Client)</w:t>
      </w:r>
    </w:p>
    <w:p>
      <w:pPr>
        <w:pStyle w:val="BodyText"/>
      </w:pPr>
      <w:r>
        <w:t xml:space="preserve">Name: Mr. Faisal Al-Sabah</w:t>
      </w:r>
      <w:r>
        <w:br/>
      </w:r>
      <w:r>
        <w:t xml:space="preserve">Title: Operations Director</w:t>
      </w:r>
      <w:r>
        <w:br/>
      </w:r>
      <w:r>
        <w:t xml:space="preserve">Signature &amp; Company Stamp: _______________</w:t>
      </w:r>
    </w:p>
    <w:p>
      <w:pPr>
        <w:pStyle w:val="BodyText"/>
      </w:pPr>
      <w:r>
        <w:t xml:space="preserve">This Quotation Estimate document was prepared exclusively for the client named above and is not transferable. © 2025 MediPharm Professional Services LLC, Kuwait City, State of Kuwait. All rights reserved.</w:t>
      </w:r>
    </w:p>
    <w:p>
      <w:pPr>
        <w:pStyle w:val="BodyText"/>
      </w:pPr>
      <w:r>
        <w:t xml:space="preserve">Document Reference: QTE-KW-2025-04782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Pharmacist Services - Kuwait Kuwait City</dc:title>
  <dc:creator/>
  <dc:language>en</dc:language>
  <cp:keywords/>
  <dcterms:created xsi:type="dcterms:W3CDTF">2026-10-10T07:28:30Z</dcterms:created>
  <dcterms:modified xsi:type="dcterms:W3CDTF">2026-10-10T07:28:30Z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