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Pharmacist</w:t>
      </w:r>
      <w:r>
        <w:t xml:space="preserve"> </w:t>
      </w:r>
      <w:r>
        <w:t xml:space="preserve">Position</w:t>
      </w:r>
      <w:r>
        <w:t xml:space="preserve"> </w:t>
      </w:r>
      <w:r>
        <w:t xml:space="preserve">-</w:t>
      </w:r>
      <w:r>
        <w:t xml:space="preserve"> </w:t>
      </w:r>
      <w:r>
        <w:t xml:space="preserve">Saudi</w:t>
      </w:r>
      <w:r>
        <w:t xml:space="preserve"> </w:t>
      </w:r>
      <w:r>
        <w:t xml:space="preserve">Arabia</w:t>
      </w:r>
      <w:r>
        <w:t xml:space="preserve"> </w:t>
      </w:r>
      <w:r>
        <w:t xml:space="preserve">Jeddah</w:t>
      </w:r>
    </w:p>
    <w:bookmarkStart w:id="20" w:name="quotation-estimate"/>
    <w:p>
      <w:pPr>
        <w:pStyle w:val="Heading1"/>
      </w:pPr>
      <w:r>
        <w:t xml:space="preserve">Quotation Estimate</w:t>
      </w:r>
    </w:p>
    <w:p>
      <w:pPr>
        <w:pStyle w:val="FirstParagraph"/>
      </w:pPr>
      <w:r>
        <w:t xml:space="preserve">Professional Pharmacist Recruitment &amp; Placement Services</w:t>
      </w:r>
    </w:p>
    <w:p>
      <w:pPr>
        <w:pStyle w:val="BodyText"/>
      </w:pPr>
      <w:r>
        <w:t xml:space="preserve">Saudi Arabia Jeddah | Kingdom of Saudi Arabia</w:t>
      </w:r>
    </w:p>
    <w:p>
      <w:pPr>
        <w:pStyle w:val="BodyText"/>
      </w:pPr>
      <w:r>
        <w:t xml:space="preserve">Ref: QE-PHARM-JED-2025-0047</w:t>
      </w:r>
    </w:p>
    <w:bookmarkEnd w:id="20"/>
    <w:p>
      <w:pPr>
        <w:pStyle w:val="BodyText"/>
      </w:pPr>
      <w:r>
        <w:rPr>
          <w:bCs/>
          <w:b/>
        </w:rPr>
        <w:t xml:space="preserve">Quotation Date:</w:t>
      </w:r>
      <w:r>
        <w:t xml:space="preserve"> </w:t>
      </w:r>
      <w:r>
        <w:t xml:space="preserve">15 June 2025</w:t>
      </w:r>
    </w:p>
    <w:p>
      <w:pPr>
        <w:pStyle w:val="BodyText"/>
      </w:pPr>
      <w:r>
        <w:rPr>
          <w:bCs/>
          <w:b/>
        </w:rPr>
        <w:t xml:space="preserve">Valid Until:</w:t>
      </w:r>
      <w:r>
        <w:t xml:space="preserve"> </w:t>
      </w:r>
      <w:r>
        <w:t xml:space="preserve">15 July 2025</w:t>
      </w:r>
    </w:p>
    <w:p>
      <w:pPr>
        <w:pStyle w:val="BodyText"/>
      </w:pPr>
      <w:r>
        <w:rPr>
          <w:bCs/>
          <w:b/>
        </w:rPr>
        <w:t xml:space="preserve">Prepared For:</w:t>
      </w:r>
      <w:r>
        <w:t xml:space="preserve"> </w:t>
      </w:r>
      <w:r>
        <w:t xml:space="preserve">Al-Shifa Pharmacy Group, Jeddah</w:t>
      </w:r>
    </w:p>
    <w:p>
      <w:pPr>
        <w:pStyle w:val="BodyText"/>
      </w:pPr>
      <w:r>
        <w:rPr>
          <w:bCs/>
          <w:b/>
        </w:rPr>
        <w:t xml:space="preserve">Prepared By:</w:t>
      </w:r>
      <w:r>
        <w:t xml:space="preserve"> </w:t>
      </w:r>
      <w:r>
        <w:t xml:space="preserve">Gulf Medical Staffing Co.</w:t>
      </w:r>
    </w:p>
    <w:bookmarkStart w:id="21" w:name="X091f0dfb82768bdcc14fb07ea5eabec314d991f"/>
    <w:p>
      <w:pPr>
        <w:pStyle w:val="Heading2"/>
      </w:pPr>
      <w:r>
        <w:t xml:space="preserve">1. Introduction and Purpose of This Quotation Estimate</w:t>
      </w:r>
    </w:p>
    <w:p>
      <w:pPr>
        <w:pStyle w:val="FirstParagraph"/>
      </w:pPr>
      <w:r>
        <w:t xml:space="preserve">This</w:t>
      </w:r>
      <w:r>
        <w:t xml:space="preserve"> </w:t>
      </w:r>
      <w:r>
        <w:t xml:space="preserve">Quotation Estimate</w:t>
      </w:r>
      <w:r>
        <w:t xml:space="preserve"> </w:t>
      </w:r>
      <w:r>
        <w:t xml:space="preserve">is issued by Gulf Medical Staffing Co. (hereinafter referred to as "the Provider") in response to the formal request submitted by Al-Shifa Pharmacy Group, a licensed pharmaceutical retail and distribution entity operating in</w:t>
      </w:r>
      <w:r>
        <w:t xml:space="preserve"> </w:t>
      </w:r>
      <w:r>
        <w:t xml:space="preserve">Saudi Arabia Jeddah</w:t>
      </w:r>
      <w:r>
        <w:t xml:space="preserve">. The purpose of this document is to provide a comprehensive, itemized financial estimate for the recruitment, licensing facilitation, and placement of a qualified</w:t>
      </w:r>
      <w:r>
        <w:t xml:space="preserve"> </w:t>
      </w:r>
      <w:r>
        <w:t xml:space="preserve">Pharmacist</w:t>
      </w:r>
      <w:r>
        <w:t xml:space="preserve"> </w:t>
      </w:r>
      <w:r>
        <w:t xml:space="preserve">to serve at the client's primary pharmacy branch located in the Al-Rawdah district of Jeddah, Kingdom of Saudi Arabia.</w:t>
      </w:r>
    </w:p>
    <w:p>
      <w:pPr>
        <w:pStyle w:val="BodyText"/>
      </w:pPr>
      <w:r>
        <w:t xml:space="preserve">This</w:t>
      </w:r>
      <w:r>
        <w:t xml:space="preserve"> </w:t>
      </w:r>
      <w:r>
        <w:t xml:space="preserve">Quotation Estimate</w:t>
      </w:r>
      <w:r>
        <w:t xml:space="preserve"> </w:t>
      </w:r>
      <w:r>
        <w:t xml:space="preserve">covers all professional services, regulatory compliance activities, and associated costs required to secure a fully licensed</w:t>
      </w:r>
      <w:r>
        <w:t xml:space="preserve"> </w:t>
      </w:r>
      <w:r>
        <w:t xml:space="preserve">Pharmacist</w:t>
      </w:r>
      <w:r>
        <w:t xml:space="preserve"> </w:t>
      </w:r>
      <w:r>
        <w:t xml:space="preserve">who meets the standards set forth by the Saudi Food and Drug Authority (SFDA) and the Ministry of Health (MOH) of the Kingdom of Saudi Arabia. All figures presented herein are denominated in Saudi Riyals (SAR) unless otherwise stated.</w:t>
      </w:r>
    </w:p>
    <w:bookmarkEnd w:id="21"/>
    <w:bookmarkStart w:id="22" w:name="scope-of-services-pharmacist-position"/>
    <w:p>
      <w:pPr>
        <w:pStyle w:val="Heading2"/>
      </w:pPr>
      <w:r>
        <w:t xml:space="preserve">2. Scope of Services – Pharmacist Position</w:t>
      </w:r>
    </w:p>
    <w:p>
      <w:pPr>
        <w:pStyle w:val="FirstParagraph"/>
      </w:pPr>
      <w:r>
        <w:t xml:space="preserve">The</w:t>
      </w:r>
      <w:r>
        <w:t xml:space="preserve"> </w:t>
      </w:r>
      <w:r>
        <w:t xml:space="preserve">Pharmacist</w:t>
      </w:r>
      <w:r>
        <w:t xml:space="preserve"> </w:t>
      </w:r>
      <w:r>
        <w:t xml:space="preserve">position described in this</w:t>
      </w:r>
      <w:r>
        <w:t xml:space="preserve"> </w:t>
      </w:r>
      <w:r>
        <w:t xml:space="preserve">Quotation Estimate</w:t>
      </w:r>
      <w:r>
        <w:t xml:space="preserve"> </w:t>
      </w:r>
      <w:r>
        <w:t xml:space="preserve">entails the following professional responsibilities and service deliverables:</w:t>
      </w:r>
    </w:p>
    <w:p>
      <w:pPr>
        <w:numPr>
          <w:ilvl w:val="0"/>
          <w:numId w:val="1001"/>
        </w:numPr>
        <w:pStyle w:val="Compact"/>
      </w:pPr>
      <w:r>
        <w:t xml:space="preserve">Dispensing of prescription and over-the-counter medications in strict compliance with SFDA regulations applicable in</w:t>
      </w:r>
      <w:r>
        <w:t xml:space="preserve"> </w:t>
      </w:r>
      <w:r>
        <w:t xml:space="preserve">Saudi Arabia Jeddah</w:t>
      </w:r>
      <w:r>
        <w:t xml:space="preserve">.</w:t>
      </w:r>
    </w:p>
    <w:p>
      <w:pPr>
        <w:numPr>
          <w:ilvl w:val="0"/>
          <w:numId w:val="1001"/>
        </w:numPr>
        <w:pStyle w:val="Compact"/>
      </w:pPr>
      <w:r>
        <w:t xml:space="preserve">Management of pharmaceutical inventory, including procurement, storage, and quality control of all drug products.</w:t>
      </w:r>
    </w:p>
    <w:p>
      <w:pPr>
        <w:numPr>
          <w:ilvl w:val="0"/>
          <w:numId w:val="1001"/>
        </w:numPr>
        <w:pStyle w:val="Compact"/>
      </w:pPr>
      <w:r>
        <w:t xml:space="preserve">Provision of patient counseling, medication therapy management, and clinical drug information services.</w:t>
      </w:r>
    </w:p>
    <w:p>
      <w:pPr>
        <w:numPr>
          <w:ilvl w:val="0"/>
          <w:numId w:val="1001"/>
        </w:numPr>
        <w:pStyle w:val="Compact"/>
      </w:pPr>
      <w:r>
        <w:t xml:space="preserve">Supervision of pharmacy technicians and support staff assigned to the Jeddah branch.</w:t>
      </w:r>
    </w:p>
    <w:p>
      <w:pPr>
        <w:numPr>
          <w:ilvl w:val="0"/>
          <w:numId w:val="1001"/>
        </w:numPr>
        <w:pStyle w:val="Compact"/>
      </w:pPr>
      <w:r>
        <w:t xml:space="preserve">Maintenance of accurate dispensing records, controlled substance logs, and regulatory documentation as mandated by Saudi pharmaceutical law.</w:t>
      </w:r>
    </w:p>
    <w:p>
      <w:pPr>
        <w:numPr>
          <w:ilvl w:val="0"/>
          <w:numId w:val="1001"/>
        </w:numPr>
        <w:pStyle w:val="Compact"/>
      </w:pPr>
      <w:r>
        <w:t xml:space="preserve">Participation in community health outreach programs and pharmacy-related public health initiatives in the Jeddah metropolitan area.</w:t>
      </w:r>
    </w:p>
    <w:p>
      <w:pPr>
        <w:numPr>
          <w:ilvl w:val="0"/>
          <w:numId w:val="1001"/>
        </w:numPr>
        <w:pStyle w:val="Compact"/>
      </w:pPr>
      <w:r>
        <w:t xml:space="preserve">Collaboration with physicians and healthcare providers within the</w:t>
      </w:r>
      <w:r>
        <w:t xml:space="preserve"> </w:t>
      </w:r>
      <w:r>
        <w:t xml:space="preserve">Saudi Arabia Jeddah</w:t>
      </w:r>
      <w:r>
        <w:t xml:space="preserve"> </w:t>
      </w:r>
      <w:r>
        <w:t xml:space="preserve">healthcare network for optimal patient outcomes.</w:t>
      </w:r>
    </w:p>
    <w:bookmarkEnd w:id="22"/>
    <w:bookmarkStart w:id="23" w:name="candidate-qualification-requirements"/>
    <w:p>
      <w:pPr>
        <w:pStyle w:val="Heading2"/>
      </w:pPr>
      <w:r>
        <w:t xml:space="preserve">3. Candidate Qualification Requirements</w:t>
      </w:r>
    </w:p>
    <w:p>
      <w:pPr>
        <w:pStyle w:val="FirstParagraph"/>
      </w:pPr>
      <w:r>
        <w:t xml:space="preserve">The</w:t>
      </w:r>
      <w:r>
        <w:t xml:space="preserve"> </w:t>
      </w:r>
      <w:r>
        <w:t xml:space="preserve">Pharmacist</w:t>
      </w:r>
      <w:r>
        <w:t xml:space="preserve"> </w:t>
      </w:r>
      <w:r>
        <w:t xml:space="preserve">to be placed under this</w:t>
      </w:r>
      <w:r>
        <w:t xml:space="preserve"> </w:t>
      </w:r>
      <w:r>
        <w:t xml:space="preserve">Quotation Estimate</w:t>
      </w:r>
      <w:r>
        <w:t xml:space="preserve"> </w:t>
      </w:r>
      <w:r>
        <w:t xml:space="preserve">must satisfy the following minimum qualifications:</w:t>
      </w:r>
    </w:p>
    <w:p>
      <w:pPr>
        <w:numPr>
          <w:ilvl w:val="0"/>
          <w:numId w:val="1002"/>
        </w:numPr>
        <w:pStyle w:val="Compact"/>
      </w:pPr>
      <w:r>
        <w:t xml:space="preserve">Bachelor of Pharmacy (B.Pharm) or Master of Pharmacy (M.Pharm) degree from an accredited institution recognized by the Saudi Commission for Health Specialties (SCFHS).</w:t>
      </w:r>
    </w:p>
    <w:p>
      <w:pPr>
        <w:numPr>
          <w:ilvl w:val="0"/>
          <w:numId w:val="1002"/>
        </w:numPr>
        <w:pStyle w:val="Compact"/>
      </w:pPr>
      <w:r>
        <w:t xml:space="preserve">Valid SFDA Pharmacist License or eligibility to obtain one within 90 days of arrival in</w:t>
      </w:r>
      <w:r>
        <w:t xml:space="preserve"> </w:t>
      </w:r>
      <w:r>
        <w:t xml:space="preserve">Saudi Arabia Jeddah</w:t>
      </w:r>
      <w:r>
        <w:t xml:space="preserve">.</w:t>
      </w:r>
    </w:p>
    <w:p>
      <w:pPr>
        <w:numPr>
          <w:ilvl w:val="0"/>
          <w:numId w:val="1002"/>
        </w:numPr>
        <w:pStyle w:val="Compact"/>
      </w:pPr>
      <w:r>
        <w:t xml:space="preserve">Minimum of three (3) years of post-qualification experience in a retail or hospital pharmacy setting.</w:t>
      </w:r>
    </w:p>
    <w:p>
      <w:pPr>
        <w:numPr>
          <w:ilvl w:val="0"/>
          <w:numId w:val="1002"/>
        </w:numPr>
        <w:pStyle w:val="Compact"/>
      </w:pPr>
      <w:r>
        <w:t xml:space="preserve">Proficiency in Arabic (spoken and written) and English (professional working level).</w:t>
      </w:r>
    </w:p>
    <w:p>
      <w:pPr>
        <w:numPr>
          <w:ilvl w:val="0"/>
          <w:numId w:val="1002"/>
        </w:numPr>
        <w:pStyle w:val="Compact"/>
      </w:pPr>
      <w:r>
        <w:t xml:space="preserve">Clear medical fitness certificate and police clearance from the country of origin.</w:t>
      </w:r>
    </w:p>
    <w:p>
      <w:pPr>
        <w:numPr>
          <w:ilvl w:val="0"/>
          <w:numId w:val="1002"/>
        </w:numPr>
        <w:pStyle w:val="Compact"/>
      </w:pPr>
      <w:r>
        <w:t xml:space="preserve">Willingness to comply with all labor laws and cultural norms of the Kingdom of Saudi Arabia.</w:t>
      </w:r>
    </w:p>
    <w:bookmarkEnd w:id="23"/>
    <w:bookmarkStart w:id="24" w:name="itemized-cost-breakdown"/>
    <w:p>
      <w:pPr>
        <w:pStyle w:val="Heading2"/>
      </w:pPr>
      <w:r>
        <w:t xml:space="preserve">4. Itemized Cost Breakdown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No.</w:t>
            </w:r>
          </w:p>
        </w:tc>
        <w:tc>
          <w:tcPr/>
          <w:p>
            <w:pPr>
              <w:pStyle w:val="Compact"/>
              <w:jc w:val="left"/>
            </w:pPr>
            <w:r>
              <w:t xml:space="preserve">Description of Service / Cost Component</w:t>
            </w:r>
          </w:p>
        </w:tc>
        <w:tc>
          <w:tcPr/>
          <w:p>
            <w:pPr>
              <w:pStyle w:val="Compact"/>
              <w:jc w:val="left"/>
            </w:pPr>
            <w:r>
              <w:t xml:space="preserve">Quantity</w:t>
            </w:r>
          </w:p>
        </w:tc>
        <w:tc>
          <w:tcPr/>
          <w:p>
            <w:pPr>
              <w:pStyle w:val="Compact"/>
              <w:jc w:val="left"/>
            </w:pPr>
            <w:r>
              <w:t xml:space="preserve">Unit Price (SAR)</w:t>
            </w:r>
          </w:p>
        </w:tc>
        <w:tc>
          <w:tcPr/>
          <w:p>
            <w:pPr>
              <w:pStyle w:val="Compact"/>
              <w:jc w:val="left"/>
            </w:pPr>
            <w:r>
              <w:t xml:space="preserve">Total (SAR)</w:t>
            </w:r>
          </w:p>
        </w:tc>
      </w:tr>
      <w:tr>
        <w:tc>
          <w:tcPr/>
          <w:p>
            <w:pPr>
              <w:pStyle w:val="Compact"/>
              <w:jc w:val="left"/>
            </w:pPr>
            <w:r>
              <w:t xml:space="preserve">01</w:t>
            </w:r>
          </w:p>
        </w:tc>
        <w:tc>
          <w:tcPr/>
          <w:p>
            <w:pPr>
              <w:pStyle w:val="Compact"/>
              <w:jc w:val="left"/>
            </w:pPr>
            <w:r>
              <w:t xml:space="preserve">International recruitment and sourcing of qualified Pharmacist candidate</w:t>
            </w:r>
          </w:p>
        </w:tc>
        <w:tc>
          <w:tcPr/>
          <w:p>
            <w:pPr>
              <w:pStyle w:val="Compact"/>
              <w:jc w:val="left"/>
            </w:pPr>
            <w:r>
              <w:t xml:space="preserve">1</w:t>
            </w:r>
          </w:p>
        </w:tc>
        <w:tc>
          <w:tcPr/>
          <w:p>
            <w:pPr>
              <w:pStyle w:val="Compact"/>
              <w:jc w:val="left"/>
            </w:pPr>
            <w:r>
              <w:t xml:space="preserve">12,500</w:t>
            </w:r>
          </w:p>
        </w:tc>
        <w:tc>
          <w:tcPr/>
          <w:p>
            <w:pPr>
              <w:pStyle w:val="Compact"/>
              <w:jc w:val="left"/>
            </w:pPr>
            <w:r>
              <w:t xml:space="preserve">12,500</w:t>
            </w:r>
          </w:p>
        </w:tc>
      </w:tr>
      <w:tr>
        <w:tc>
          <w:tcPr/>
          <w:p>
            <w:pPr>
              <w:pStyle w:val="Compact"/>
              <w:jc w:val="left"/>
            </w:pPr>
            <w:r>
              <w:t xml:space="preserve">02</w:t>
            </w:r>
          </w:p>
        </w:tc>
        <w:tc>
          <w:tcPr/>
          <w:p>
            <w:pPr>
              <w:pStyle w:val="Compact"/>
              <w:jc w:val="left"/>
            </w:pPr>
            <w:r>
              <w:t xml:space="preserve">SCFHS / SFDA license application processing and regulatory filing in Saudi Arabia Jeddah</w:t>
            </w:r>
          </w:p>
        </w:tc>
        <w:tc>
          <w:tcPr/>
          <w:p>
            <w:pPr>
              <w:pStyle w:val="Compact"/>
              <w:jc w:val="left"/>
            </w:pPr>
            <w:r>
              <w:t xml:space="preserve">1</w:t>
            </w:r>
          </w:p>
        </w:tc>
        <w:tc>
          <w:tcPr/>
          <w:p>
            <w:pPr>
              <w:pStyle w:val="Compact"/>
              <w:jc w:val="left"/>
            </w:pPr>
            <w:r>
              <w:t xml:space="preserve">8,750</w:t>
            </w:r>
          </w:p>
        </w:tc>
        <w:tc>
          <w:tcPr/>
          <w:p>
            <w:pPr>
              <w:pStyle w:val="Compact"/>
              <w:jc w:val="left"/>
            </w:pPr>
            <w:r>
              <w:t xml:space="preserve">8,750</w:t>
            </w:r>
          </w:p>
        </w:tc>
      </w:tr>
      <w:tr>
        <w:tc>
          <w:tcPr/>
          <w:p>
            <w:pPr>
              <w:pStyle w:val="Compact"/>
              <w:jc w:val="left"/>
            </w:pPr>
            <w:r>
              <w:t xml:space="preserve">03</w:t>
            </w:r>
          </w:p>
        </w:tc>
        <w:tc>
          <w:tcPr/>
          <w:p>
            <w:pPr>
              <w:pStyle w:val="Compact"/>
              <w:jc w:val="left"/>
            </w:pPr>
            <w:r>
              <w:t xml:space="preserve">Work permit (Iqama) issuance and Ministry of Human Resources &amp; Social Development (HRSD) registration</w:t>
            </w:r>
          </w:p>
        </w:tc>
        <w:tc>
          <w:tcPr/>
          <w:p>
            <w:pPr>
              <w:pStyle w:val="Compact"/>
              <w:jc w:val="left"/>
            </w:pPr>
            <w:r>
              <w:t xml:space="preserve">1</w:t>
            </w:r>
          </w:p>
        </w:tc>
        <w:tc>
          <w:tcPr/>
          <w:p>
            <w:pPr>
              <w:pStyle w:val="Compact"/>
              <w:jc w:val="left"/>
            </w:pPr>
            <w:r>
              <w:t xml:space="preserve">6,200</w:t>
            </w:r>
          </w:p>
        </w:tc>
        <w:tc>
          <w:tcPr/>
          <w:p>
            <w:pPr>
              <w:pStyle w:val="Compact"/>
              <w:jc w:val="left"/>
            </w:pPr>
            <w:r>
              <w:t xml:space="preserve">6,200</w:t>
            </w:r>
          </w:p>
        </w:tc>
      </w:tr>
      <w:tr>
        <w:tc>
          <w:tcPr/>
          <w:p>
            <w:pPr>
              <w:pStyle w:val="Compact"/>
              <w:jc w:val="left"/>
            </w:pPr>
            <w:r>
              <w:t xml:space="preserve">04</w:t>
            </w:r>
          </w:p>
        </w:tc>
        <w:tc>
          <w:tcPr/>
          <w:p>
            <w:pPr>
              <w:pStyle w:val="Compact"/>
              <w:jc w:val="left"/>
            </w:pPr>
            <w:r>
              <w:t xml:space="preserve">International airfare (economy class) to King Abdulaziz International Airport, Jeddah</w:t>
            </w:r>
          </w:p>
        </w:tc>
        <w:tc>
          <w:tcPr/>
          <w:p>
            <w:pPr>
              <w:pStyle w:val="Compact"/>
              <w:jc w:val="left"/>
            </w:pPr>
            <w:r>
              <w:t xml:space="preserve">1</w:t>
            </w:r>
          </w:p>
        </w:tc>
        <w:tc>
          <w:tcPr/>
          <w:p>
            <w:pPr>
              <w:pStyle w:val="Compact"/>
              <w:jc w:val="left"/>
            </w:pPr>
            <w:r>
              <w:t xml:space="preserve">4,800</w:t>
            </w:r>
          </w:p>
        </w:tc>
        <w:tc>
          <w:tcPr/>
          <w:p>
            <w:pPr>
              <w:pStyle w:val="Compact"/>
              <w:jc w:val="left"/>
            </w:pPr>
            <w:r>
              <w:t xml:space="preserve">4,800</w:t>
            </w:r>
          </w:p>
        </w:tc>
      </w:tr>
      <w:tr>
        <w:tc>
          <w:tcPr/>
          <w:p>
            <w:pPr>
              <w:pStyle w:val="Compact"/>
              <w:jc w:val="left"/>
            </w:pPr>
            <w:r>
              <w:t xml:space="preserve">05</w:t>
            </w:r>
          </w:p>
        </w:tc>
        <w:tc>
          <w:tcPr/>
          <w:p>
            <w:pPr>
              <w:pStyle w:val="Compact"/>
              <w:jc w:val="left"/>
            </w:pPr>
            <w:r>
              <w:t xml:space="preserve">Medical fitness examination and pre-employment health screening (Jeddah)</w:t>
            </w:r>
          </w:p>
        </w:tc>
        <w:tc>
          <w:tcPr/>
          <w:p>
            <w:pPr>
              <w:pStyle w:val="Compact"/>
              <w:jc w:val="left"/>
            </w:pPr>
            <w:r>
              <w:t xml:space="preserve">1</w:t>
            </w:r>
          </w:p>
        </w:tc>
        <w:tc>
          <w:tcPr/>
          <w:p>
            <w:pPr>
              <w:pStyle w:val="Compact"/>
              <w:jc w:val="left"/>
            </w:pPr>
            <w:r>
              <w:t xml:space="preserve">1,950</w:t>
            </w:r>
          </w:p>
        </w:tc>
        <w:tc>
          <w:tcPr/>
          <w:p>
            <w:pPr>
              <w:pStyle w:val="Compact"/>
              <w:jc w:val="left"/>
            </w:pPr>
            <w:r>
              <w:t xml:space="preserve">1,950</w:t>
            </w:r>
          </w:p>
        </w:tc>
      </w:tr>
      <w:tr>
        <w:tc>
          <w:tcPr/>
          <w:p>
            <w:pPr>
              <w:pStyle w:val="Compact"/>
              <w:jc w:val="left"/>
            </w:pPr>
            <w:r>
              <w:t xml:space="preserve">06</w:t>
            </w:r>
          </w:p>
        </w:tc>
        <w:tc>
          <w:tcPr/>
          <w:p>
            <w:pPr>
              <w:pStyle w:val="Compact"/>
              <w:jc w:val="left"/>
            </w:pPr>
            <w:r>
              <w:t xml:space="preserve">Initial accommodation arrangement (3-month furnished apartment, Al-Rawdah, Jeddah)</w:t>
            </w:r>
          </w:p>
        </w:tc>
        <w:tc>
          <w:tcPr/>
          <w:p>
            <w:pPr>
              <w:pStyle w:val="Compact"/>
              <w:jc w:val="left"/>
            </w:pPr>
            <w:r>
              <w:t xml:space="preserve">1</w:t>
            </w:r>
          </w:p>
        </w:tc>
        <w:tc>
          <w:tcPr/>
          <w:p>
            <w:pPr>
              <w:pStyle w:val="Compact"/>
              <w:jc w:val="left"/>
            </w:pPr>
            <w:r>
              <w:t xml:space="preserve">15,000</w:t>
            </w:r>
          </w:p>
        </w:tc>
        <w:tc>
          <w:tcPr/>
          <w:p>
            <w:pPr>
              <w:pStyle w:val="Compact"/>
              <w:jc w:val="left"/>
            </w:pPr>
            <w:r>
              <w:t xml:space="preserve">15,000</w:t>
            </w:r>
          </w:p>
        </w:tc>
      </w:tr>
      <w:tr>
        <w:tc>
          <w:tcPr/>
          <w:p>
            <w:pPr>
              <w:pStyle w:val="Compact"/>
              <w:jc w:val="left"/>
            </w:pPr>
            <w:r>
              <w:t xml:space="preserve">07</w:t>
            </w:r>
          </w:p>
        </w:tc>
        <w:tc>
          <w:tcPr/>
          <w:p>
            <w:pPr>
              <w:pStyle w:val="Compact"/>
              <w:jc w:val="left"/>
            </w:pPr>
            <w:r>
              <w:t xml:space="preserve">Onboarding, orientation, and SFDA compliance training program</w:t>
            </w:r>
          </w:p>
        </w:tc>
        <w:tc>
          <w:tcPr/>
          <w:p>
            <w:pPr>
              <w:pStyle w:val="Compact"/>
              <w:jc w:val="left"/>
            </w:pPr>
            <w:r>
              <w:t xml:space="preserve">1</w:t>
            </w:r>
          </w:p>
        </w:tc>
        <w:tc>
          <w:tcPr/>
          <w:p>
            <w:pPr>
              <w:pStyle w:val="Compact"/>
              <w:jc w:val="left"/>
            </w:pPr>
            <w:r>
              <w:t xml:space="preserve">3,500</w:t>
            </w:r>
          </w:p>
        </w:tc>
        <w:tc>
          <w:tcPr/>
          <w:p>
            <w:pPr>
              <w:pStyle w:val="Compact"/>
              <w:jc w:val="left"/>
            </w:pPr>
            <w:r>
              <w:t xml:space="preserve">3,500</w:t>
            </w:r>
          </w:p>
        </w:tc>
      </w:tr>
      <w:tr>
        <w:tc>
          <w:tcPr/>
          <w:p>
            <w:pPr>
              <w:pStyle w:val="Compact"/>
              <w:jc w:val="left"/>
            </w:pPr>
            <w:r>
              <w:t xml:space="preserve">08</w:t>
            </w:r>
          </w:p>
        </w:tc>
        <w:tc>
          <w:tcPr/>
          <w:p>
            <w:pPr>
              <w:pStyle w:val="Compact"/>
              <w:jc w:val="left"/>
            </w:pPr>
            <w:r>
              <w:t xml:space="preserve">Annual Pharmacist salary (12 months, inclusive of end-of-service provisions)</w:t>
            </w:r>
          </w:p>
        </w:tc>
        <w:tc>
          <w:tcPr/>
          <w:p>
            <w:pPr>
              <w:pStyle w:val="Compact"/>
              <w:jc w:val="left"/>
            </w:pPr>
            <w:r>
              <w:t xml:space="preserve">1</w:t>
            </w:r>
          </w:p>
        </w:tc>
        <w:tc>
          <w:tcPr/>
          <w:p>
            <w:pPr>
              <w:pStyle w:val="Compact"/>
              <w:jc w:val="left"/>
            </w:pPr>
            <w:r>
              <w:t xml:space="preserve">96,000</w:t>
            </w:r>
          </w:p>
        </w:tc>
        <w:tc>
          <w:tcPr/>
          <w:p>
            <w:pPr>
              <w:pStyle w:val="Compact"/>
              <w:jc w:val="left"/>
            </w:pPr>
            <w:r>
              <w:t xml:space="preserve">96,000</w:t>
            </w:r>
          </w:p>
        </w:tc>
      </w:tr>
      <w:tr>
        <w:tc>
          <w:tcPr/>
          <w:p>
            <w:pPr>
              <w:pStyle w:val="Compact"/>
              <w:jc w:val="left"/>
            </w:pPr>
            <w:r>
              <w:t xml:space="preserve">09</w:t>
            </w:r>
          </w:p>
        </w:tc>
        <w:tc>
          <w:tcPr/>
          <w:p>
            <w:pPr>
              <w:pStyle w:val="Compact"/>
              <w:jc w:val="left"/>
            </w:pPr>
            <w:r>
              <w:t xml:space="preserve">Statutory insurance (GOSI) and employer contribution</w:t>
            </w:r>
          </w:p>
        </w:tc>
        <w:tc>
          <w:tcPr/>
          <w:p>
            <w:pPr>
              <w:pStyle w:val="Compact"/>
              <w:jc w:val="left"/>
            </w:pPr>
            <w:r>
              <w:t xml:space="preserve">1</w:t>
            </w:r>
          </w:p>
        </w:tc>
        <w:tc>
          <w:tcPr/>
          <w:p>
            <w:pPr>
              <w:pStyle w:val="Compact"/>
              <w:jc w:val="left"/>
            </w:pPr>
            <w:r>
              <w:t xml:space="preserve">7,200</w:t>
            </w:r>
          </w:p>
        </w:tc>
        <w:tc>
          <w:tcPr/>
          <w:p>
            <w:pPr>
              <w:pStyle w:val="Compact"/>
              <w:jc w:val="left"/>
            </w:pPr>
            <w:r>
              <w:t xml:space="preserve">7,200</w:t>
            </w:r>
          </w:p>
        </w:tc>
      </w:tr>
      <w:tr>
        <w:tc>
          <w:tcPr/>
          <w:p>
            <w:pPr>
              <w:pStyle w:val="Compact"/>
              <w:jc w:val="left"/>
            </w:pPr>
            <w:r>
              <w:t xml:space="preserve">10</w:t>
            </w:r>
          </w:p>
        </w:tc>
        <w:tc>
          <w:tcPr/>
          <w:p>
            <w:pPr>
              <w:pStyle w:val="Compact"/>
              <w:jc w:val="left"/>
            </w:pPr>
            <w:r>
              <w:t xml:space="preserve">Administrative overhead, documentation, and service management fee</w:t>
            </w:r>
          </w:p>
        </w:tc>
        <w:tc>
          <w:tcPr/>
          <w:p>
            <w:pPr>
              <w:pStyle w:val="Compact"/>
              <w:jc w:val="left"/>
            </w:pPr>
            <w:r>
              <w:t xml:space="preserve">1</w:t>
            </w:r>
          </w:p>
        </w:tc>
        <w:tc>
          <w:tcPr/>
          <w:p>
            <w:pPr>
              <w:pStyle w:val="Compact"/>
              <w:jc w:val="left"/>
            </w:pPr>
            <w:r>
              <w:t xml:space="preserve">5,100</w:t>
            </w:r>
          </w:p>
        </w:tc>
        <w:tc>
          <w:tcPr/>
          <w:p>
            <w:pPr>
              <w:pStyle w:val="Compact"/>
              <w:jc w:val="left"/>
            </w:pPr>
            <w:r>
              <w:t xml:space="preserve">5,100</w:t>
            </w:r>
          </w:p>
        </w:tc>
      </w:tr>
      <w:tr>
        <w:tc>
          <w:tcPr>
            <w:gridSpan w:val="4"/>
          </w:tcPr>
          <w:p>
            <w:pPr>
              <w:pStyle w:val="Compact"/>
              <w:jc w:val="left"/>
            </w:pPr>
            <w:r>
              <w:t xml:space="preserve">TOTAL ESTIMATED COST (SAR)</w:t>
            </w:r>
          </w:p>
        </w:tc>
        <w:tc>
          <w:tcPr/>
          <w:p>
            <w:pPr>
              <w:pStyle w:val="Compact"/>
              <w:jc w:val="left"/>
            </w:pPr>
            <w:r>
              <w:t xml:space="preserve">161,000</w:t>
            </w:r>
          </w:p>
        </w:tc>
      </w:tr>
    </w:tbl>
    <w:bookmarkEnd w:id="24"/>
    <w:bookmarkStart w:id="25" w:name="payment-terms-and-schedule"/>
    <w:p>
      <w:pPr>
        <w:pStyle w:val="Heading2"/>
      </w:pPr>
      <w:r>
        <w:t xml:space="preserve">5. Payment Terms and Schedule</w:t>
      </w:r>
    </w:p>
    <w:p>
      <w:pPr>
        <w:pStyle w:val="FirstParagraph"/>
      </w:pPr>
      <w:r>
        <w:t xml:space="preserve">As outlined in this</w:t>
      </w:r>
      <w:r>
        <w:t xml:space="preserve"> </w:t>
      </w:r>
      <w:r>
        <w:t xml:space="preserve">Quotation Estimate</w:t>
      </w:r>
      <w:r>
        <w:t xml:space="preserve">, payment for the</w:t>
      </w:r>
      <w:r>
        <w:t xml:space="preserve"> </w:t>
      </w:r>
      <w:r>
        <w:t xml:space="preserve">Pharmacist</w:t>
      </w:r>
      <w:r>
        <w:t xml:space="preserve"> </w:t>
      </w:r>
      <w:r>
        <w:t xml:space="preserve">placement services shall be structured as follows:</w:t>
      </w:r>
    </w:p>
    <w:p>
      <w:pPr>
        <w:numPr>
          <w:ilvl w:val="0"/>
          <w:numId w:val="1003"/>
        </w:numPr>
        <w:pStyle w:val="Compact"/>
      </w:pPr>
      <w:r>
        <w:rPr>
          <w:bCs/>
          <w:b/>
        </w:rPr>
        <w:t xml:space="preserve">40% Advance Payment (SAR 64,400):</w:t>
      </w:r>
      <w:r>
        <w:t xml:space="preserve"> </w:t>
      </w:r>
      <w:r>
        <w:t xml:space="preserve">Due upon signed acceptance of this Quotation Estimate, to initiate recruitment and regulatory processes.</w:t>
      </w:r>
    </w:p>
    <w:p>
      <w:pPr>
        <w:numPr>
          <w:ilvl w:val="0"/>
          <w:numId w:val="1003"/>
        </w:numPr>
        <w:pStyle w:val="Compact"/>
      </w:pPr>
      <w:r>
        <w:rPr>
          <w:bCs/>
          <w:b/>
        </w:rPr>
        <w:t xml:space="preserve">35% Milestone Payment (SAR 56,350):</w:t>
      </w:r>
      <w:r>
        <w:t xml:space="preserve"> </w:t>
      </w:r>
      <w:r>
        <w:t xml:space="preserve">Due upon successful issuance of the SFDA Pharmacist License and work permit in Saudi Arabia Jeddah.</w:t>
      </w:r>
    </w:p>
    <w:p>
      <w:pPr>
        <w:numPr>
          <w:ilvl w:val="0"/>
          <w:numId w:val="1003"/>
        </w:numPr>
        <w:pStyle w:val="Compact"/>
      </w:pPr>
      <w:r>
        <w:rPr>
          <w:bCs/>
          <w:b/>
        </w:rPr>
        <w:t xml:space="preserve">25% Final Payment (SAR 40,250):</w:t>
      </w:r>
      <w:r>
        <w:t xml:space="preserve"> </w:t>
      </w:r>
      <w:r>
        <w:t xml:space="preserve">Due upon the Pharmacist's physical arrival in Jeddah, completion of medical screening, and commencement of duties at the client's pharmacy branch.</w:t>
      </w:r>
    </w:p>
    <w:p>
      <w:pPr>
        <w:pStyle w:val="FirstParagraph"/>
      </w:pPr>
      <w:r>
        <w:t xml:space="preserve">All payments shall be made via bank transfer to the Provider's designated corporate account. Late payments exceeding 15 business days shall incur a penalty of 1.5% per month on the outstanding balance.</w:t>
      </w:r>
    </w:p>
    <w:bookmarkEnd w:id="25"/>
    <w:bookmarkStart w:id="26" w:name="terms-and-conditions"/>
    <w:p>
      <w:pPr>
        <w:pStyle w:val="Heading2"/>
      </w:pPr>
      <w:r>
        <w:t xml:space="preserve">6. Terms and Conditions</w:t>
      </w:r>
    </w:p>
    <w:p>
      <w:pPr>
        <w:numPr>
          <w:ilvl w:val="0"/>
          <w:numId w:val="1004"/>
        </w:numPr>
        <w:pStyle w:val="Compact"/>
      </w:pPr>
      <w:r>
        <w:t xml:space="preserve">This</w:t>
      </w:r>
      <w:r>
        <w:t xml:space="preserve"> </w:t>
      </w:r>
      <w:r>
        <w:t xml:space="preserve">Quotation Estimate</w:t>
      </w:r>
      <w:r>
        <w:t xml:space="preserve"> </w:t>
      </w:r>
      <w:r>
        <w:t xml:space="preserve">is valid for thirty (30) calendar days from the date of issue. Beyond this period, all rates and availability are subject to revision.</w:t>
      </w:r>
    </w:p>
    <w:p>
      <w:pPr>
        <w:numPr>
          <w:ilvl w:val="0"/>
          <w:numId w:val="1004"/>
        </w:numPr>
        <w:pStyle w:val="Compact"/>
      </w:pPr>
      <w:r>
        <w:t xml:space="preserve">The Provider guarantees the placement of a</w:t>
      </w:r>
      <w:r>
        <w:t xml:space="preserve"> </w:t>
      </w:r>
      <w:r>
        <w:t xml:space="preserve">Pharmacist</w:t>
      </w:r>
      <w:r>
        <w:t xml:space="preserve"> </w:t>
      </w:r>
      <w:r>
        <w:t xml:space="preserve">who meets all stated qualifications within sixty (60) business days of receiving the advance payment.</w:t>
      </w:r>
    </w:p>
    <w:p>
      <w:pPr>
        <w:numPr>
          <w:ilvl w:val="0"/>
          <w:numId w:val="1004"/>
        </w:numPr>
        <w:pStyle w:val="Compact"/>
      </w:pPr>
      <w:r>
        <w:t xml:space="preserve">All regulatory filings, including SFDA licensing and HRSD work permit processing, shall be conducted in full compliance with the laws of the Kingdom of Saudi Arabia and the specific municipal regulations of Jeddah.</w:t>
      </w:r>
    </w:p>
    <w:p>
      <w:pPr>
        <w:numPr>
          <w:ilvl w:val="0"/>
          <w:numId w:val="1004"/>
        </w:numPr>
        <w:pStyle w:val="Compact"/>
      </w:pPr>
      <w:r>
        <w:t xml:space="preserve">The</w:t>
      </w:r>
      <w:r>
        <w:t xml:space="preserve"> </w:t>
      </w:r>
      <w:r>
        <w:t xml:space="preserve">Pharmacist</w:t>
      </w:r>
      <w:r>
        <w:t xml:space="preserve"> </w:t>
      </w:r>
      <w:r>
        <w:t xml:space="preserve">shall be bound to a minimum employment contract of two (2) years with the client. Early termination by the client within the first 12 months shall require reimbursement of 50% of the recruitment and licensing fees.</w:t>
      </w:r>
    </w:p>
    <w:p>
      <w:pPr>
        <w:numPr>
          <w:ilvl w:val="0"/>
          <w:numId w:val="1004"/>
        </w:numPr>
        <w:pStyle w:val="Compact"/>
      </w:pPr>
      <w:r>
        <w:t xml:space="preserve">The Provider shall not be liable for delays caused by government processing times, force majeure events, or actions beyond its reasonable control.</w:t>
      </w:r>
    </w:p>
    <w:p>
      <w:pPr>
        <w:numPr>
          <w:ilvl w:val="0"/>
          <w:numId w:val="1004"/>
        </w:numPr>
        <w:pStyle w:val="Compact"/>
      </w:pPr>
      <w:r>
        <w:t xml:space="preserve">This Quotation Estimate does not constitute a binding employment contract between the client and the Pharmacist. A separate employment agreement, compliant with Saudi labor law, shall be executed upon placement.</w:t>
      </w:r>
    </w:p>
    <w:p>
      <w:pPr>
        <w:numPr>
          <w:ilvl w:val="0"/>
          <w:numId w:val="1004"/>
        </w:numPr>
        <w:pStyle w:val="Compact"/>
      </w:pPr>
      <w:r>
        <w:t xml:space="preserve">All personal data collected during the recruitment process shall be handled in accordance with the Saudi Personal Data Protection Law (PDPL).</w:t>
      </w:r>
    </w:p>
    <w:p>
      <w:pPr>
        <w:pStyle w:val="FirstParagraph"/>
      </w:pPr>
      <w:r>
        <w:rPr>
          <w:bCs/>
          <w:b/>
        </w:rPr>
        <w:t xml:space="preserve">Important Note:</w:t>
      </w:r>
      <w:r>
        <w:t xml:space="preserve"> </w:t>
      </w:r>
      <w:r>
        <w:t xml:space="preserve">This Quotation Estimate is prepared specifically for the</w:t>
      </w:r>
      <w:r>
        <w:t xml:space="preserve"> </w:t>
      </w:r>
      <w:r>
        <w:t xml:space="preserve">Pharmacist</w:t>
      </w:r>
      <w:r>
        <w:t xml:space="preserve"> </w:t>
      </w:r>
      <w:r>
        <w:t xml:space="preserve">position at the Al-Rawdah branch in</w:t>
      </w:r>
      <w:r>
        <w:t xml:space="preserve"> </w:t>
      </w:r>
      <w:r>
        <w:t xml:space="preserve">Saudi Arabia Jeddah</w:t>
      </w:r>
      <w:r>
        <w:t xml:space="preserve">. Should the client require additional Pharmacist placements, multi-branch coverage, or extended service contracts, a supplementary Quotation Estimate shall be issued upon written request. All regulatory fees are subject to change by the SFDA or MOH without prior notice.</w:t>
      </w:r>
    </w:p>
    <w:bookmarkEnd w:id="26"/>
    <w:bookmarkStart w:id="27" w:name="acceptance-and-authorization"/>
    <w:p>
      <w:pPr>
        <w:pStyle w:val="Heading2"/>
      </w:pPr>
      <w:r>
        <w:t xml:space="preserve">7. Acceptance and Authorization</w:t>
      </w:r>
    </w:p>
    <w:p>
      <w:pPr>
        <w:pStyle w:val="FirstParagraph"/>
      </w:pPr>
      <w:r>
        <w:t xml:space="preserve">By signing below, the client acknowledges receipt of this</w:t>
      </w:r>
      <w:r>
        <w:t xml:space="preserve"> </w:t>
      </w:r>
      <w:r>
        <w:t xml:space="preserve">Quotation Estimate</w:t>
      </w:r>
      <w:r>
        <w:t xml:space="preserve"> </w:t>
      </w:r>
      <w:r>
        <w:t xml:space="preserve">and agrees to the terms, conditions, and financial obligations outlined herein for the recruitment and placement of the</w:t>
      </w:r>
      <w:r>
        <w:t xml:space="preserve"> </w:t>
      </w:r>
      <w:r>
        <w:t xml:space="preserve">Pharmacist</w:t>
      </w:r>
      <w:r>
        <w:t xml:space="preserve"> </w:t>
      </w:r>
      <w:r>
        <w:t xml:space="preserve">in</w:t>
      </w:r>
      <w:r>
        <w:t xml:space="preserve"> </w:t>
      </w:r>
      <w:r>
        <w:t xml:space="preserve">Saudi Arabia Jeddah</w:t>
      </w:r>
      <w:r>
        <w:t xml:space="preserve">.</w:t>
      </w:r>
    </w:p>
    <w:p>
      <w:pPr>
        <w:pStyle w:val="BodyText"/>
      </w:pPr>
      <w:r>
        <w:rPr>
          <w:bCs/>
          <w:b/>
        </w:rPr>
        <w:t xml:space="preserve">For Gulf Medical Staffing Co. (Provider)</w:t>
      </w:r>
      <w:r>
        <w:br/>
      </w:r>
      <w:r>
        <w:t xml:space="preserve">Authorized Signatory</w:t>
      </w:r>
      <w:r>
        <w:br/>
      </w:r>
      <w:r>
        <w:t xml:space="preserve">Name: _________________________</w:t>
      </w:r>
      <w:r>
        <w:br/>
      </w:r>
      <w:r>
        <w:t xml:space="preserve">Title: _________________________</w:t>
      </w:r>
      <w:r>
        <w:br/>
      </w:r>
      <w:r>
        <w:t xml:space="preserve">Date: _________________________</w:t>
      </w:r>
    </w:p>
    <w:p>
      <w:pPr>
        <w:pStyle w:val="BodyText"/>
      </w:pPr>
      <w:r>
        <w:rPr>
          <w:bCs/>
          <w:b/>
        </w:rPr>
        <w:t xml:space="preserve">For Al-Shifa Pharmacy Group (Client)</w:t>
      </w:r>
      <w:r>
        <w:br/>
      </w:r>
      <w:r>
        <w:t xml:space="preserve">Authorized Signatory</w:t>
      </w:r>
      <w:r>
        <w:br/>
      </w:r>
      <w:r>
        <w:t xml:space="preserve">Name: _________________________</w:t>
      </w:r>
      <w:r>
        <w:br/>
      </w:r>
      <w:r>
        <w:t xml:space="preserve">Title: _________________________</w:t>
      </w:r>
      <w:r>
        <w:br/>
      </w:r>
      <w:r>
        <w:t xml:space="preserve">Date: _________________________</w:t>
      </w:r>
    </w:p>
    <w:p>
      <w:pPr>
        <w:pStyle w:val="BodyText"/>
      </w:pPr>
      <w:r>
        <w:t xml:space="preserve">Gulf Medical Staffing Co. | Office 12, Al-Takomey Tower, Prince Sultan Road, Jeddah 23412, Saudi Arabia</w:t>
      </w:r>
    </w:p>
    <w:p>
      <w:pPr>
        <w:pStyle w:val="BodyText"/>
      </w:pPr>
      <w:r>
        <w:t xml:space="preserve">Tel: +966-12-XXXX-XXXX | Email: quotations@gulfmedstaffing.sa | CR: 1010XXXXXX</w:t>
      </w:r>
    </w:p>
    <w:p>
      <w:pPr>
        <w:pStyle w:val="BodyText"/>
      </w:pPr>
      <w:r>
        <w:t xml:space="preserve">This Quotation Estimate is the property of Gulf Medical Staffing Co. and is intended solely for the named recipient. Unauthorized reproduction or distribution is prohibited.</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Pharmacist Position - Saudi Arabia Jeddah</dc:title>
  <dc:creator/>
  <dc:language>en</dc:language>
  <cp:keywords/>
  <dcterms:created xsi:type="dcterms:W3CDTF">2026-10-10T01:06:19Z</dcterms:created>
  <dcterms:modified xsi:type="dcterms:W3CDTF">2026-10-10T01:06:19Z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