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dipharm-professional-services-inc."/>
    <w:p>
      <w:pPr>
        <w:pStyle w:val="Heading1"/>
      </w:pPr>
      <w:r>
        <w:t xml:space="preserve">MediPharm Professional Services, Inc.</w:t>
      </w:r>
    </w:p>
    <w:p>
      <w:pPr>
        <w:pStyle w:val="FirstParagraph"/>
      </w:pPr>
      <w:r>
        <w:t xml:space="preserve">1200 Wilshire Boulevard, Suite 450, Los Angeles, California 90017, United States</w:t>
      </w:r>
    </w:p>
    <w:p>
      <w:pPr>
        <w:pStyle w:val="BodyText"/>
      </w:pPr>
      <w:r>
        <w:t xml:space="preserve">Phone: (213) 555-0187 | Email: quotes@medipharm-la.com | CA License #PH-2024-88431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Daniel R. Whitfield, Director of Operations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Coast Health Network, LLC</w:t>
      </w:r>
    </w:p>
    <w:p>
      <w:pPr>
        <w:pStyle w:val="BodyText"/>
      </w:pPr>
      <w:r>
        <w:rPr>
          <w:bCs/>
          <w:b/>
        </w:rPr>
        <w:t xml:space="preserve">Address:</w:t>
      </w:r>
      <w:r>
        <w:t xml:space="preserve"> </w:t>
      </w:r>
      <w:r>
        <w:t xml:space="preserve">8800 Santa Monica Blvd, Los Angeles, CA 90069</w:t>
      </w:r>
    </w:p>
    <w:p>
      <w:pPr>
        <w:pStyle w:val="BodyText"/>
      </w:pPr>
      <w:r>
        <w:rPr>
          <w:bCs/>
          <w:b/>
        </w:rPr>
        <w:t xml:space="preserve">Contact:</w:t>
      </w:r>
      <w:r>
        <w:t xml:space="preserve"> </w:t>
      </w:r>
      <w:r>
        <w:t xml:space="preserve">Ms. Angela Torres, Procurement Manager</w:t>
      </w:r>
    </w:p>
    <w:p>
      <w:pPr>
        <w:pStyle w:val="BodyText"/>
      </w:pPr>
      <w:r>
        <w:rPr>
          <w:bCs/>
          <w:b/>
        </w:rPr>
        <w:t xml:space="preserve">Phone:</w:t>
      </w:r>
      <w:r>
        <w:t xml:space="preserve"> </w:t>
      </w:r>
      <w:r>
        <w:t xml:space="preserve">(310) 555-2241</w:t>
      </w:r>
    </w:p>
    <w:bookmarkEnd w:id="22"/>
    <w:p>
      <w:pPr>
        <w:pStyle w:val="BodyText"/>
      </w:pPr>
      <w:r>
        <w:t xml:space="preserve">This</w:t>
      </w:r>
      <w:r>
        <w:t xml:space="preserve"> </w:t>
      </w:r>
      <w:r>
        <w:t xml:space="preserve">Quotation Estimate</w:t>
      </w:r>
      <w:r>
        <w:t xml:space="preserve"> </w:t>
      </w:r>
      <w:r>
        <w:t xml:space="preserve">is formally issued by MediPharm Professional Services, Inc. to Pacific Coast Health Network, LLC, regarding the engagement of a licensed</w:t>
      </w:r>
      <w:r>
        <w:t xml:space="preserve"> </w:t>
      </w:r>
      <w:r>
        <w:t xml:space="preserve">Pharmacist</w:t>
      </w:r>
      <w:r>
        <w:t xml:space="preserve"> </w:t>
      </w:r>
      <w:r>
        <w:t xml:space="preserve">to provide comprehensive pharmaceutical services at the client's facility located in</w:t>
      </w:r>
      <w:r>
        <w:t xml:space="preserve"> </w:t>
      </w:r>
      <w:r>
        <w:t xml:space="preserve">United States Los Angeles</w:t>
      </w:r>
      <w:r>
        <w:t xml:space="preserve">. This document outlines the full scope of services, associated costs, payment terms, and conditions governing the proposed professional arrangement. All pricing is presented in United States Dollars (USD) and reflects current market rates for qualified pharmaceutical professionals operating within the Los Angeles metropolitan area.</w:t>
      </w:r>
    </w:p>
    <w:bookmarkStart w:id="23" w:name="scope-of-services"/>
    <w:p>
      <w:pPr>
        <w:pStyle w:val="Heading2"/>
      </w:pPr>
      <w:r>
        <w:t xml:space="preserve">1. Scope of Services</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provide the following professional services at the client's primary facility in</w:t>
      </w:r>
      <w:r>
        <w:t xml:space="preserve"> </w:t>
      </w:r>
      <w:r>
        <w:t xml:space="preserve">United States Los Angeles</w:t>
      </w:r>
      <w:r>
        <w:t xml:space="preserve">:</w:t>
      </w:r>
    </w:p>
    <w:p>
      <w:pPr>
        <w:numPr>
          <w:ilvl w:val="0"/>
          <w:numId w:val="1001"/>
        </w:numPr>
        <w:pStyle w:val="Compact"/>
      </w:pPr>
      <w:r>
        <w:t xml:space="preserve">Dispensing and verification of all prescribed medications in compliance with California Board of Pharmacy regulations and federal DEA requirements.</w:t>
      </w:r>
    </w:p>
    <w:p>
      <w:pPr>
        <w:numPr>
          <w:ilvl w:val="0"/>
          <w:numId w:val="1001"/>
        </w:numPr>
        <w:pStyle w:val="Compact"/>
      </w:pPr>
      <w:r>
        <w:t xml:space="preserve">Conducting patient medication reviews, drug interaction analyses, and therapeutic outcome monitoring for an estimated 120 patients per day.</w:t>
      </w:r>
    </w:p>
    <w:p>
      <w:pPr>
        <w:numPr>
          <w:ilvl w:val="0"/>
          <w:numId w:val="1001"/>
        </w:numPr>
        <w:pStyle w:val="Compact"/>
      </w:pPr>
      <w:r>
        <w:t xml:space="preserve">Managing the pharmacy inventory system, including ordering, stock rotation, expiration tracking, and controlled substance accountability per 21 CFR Part 1304.</w:t>
      </w:r>
    </w:p>
    <w:p>
      <w:pPr>
        <w:numPr>
          <w:ilvl w:val="0"/>
          <w:numId w:val="1001"/>
        </w:numPr>
        <w:pStyle w:val="Compact"/>
      </w:pPr>
      <w:r>
        <w:t xml:space="preserve">Providing immunization services, including influenza, pneumococcal, and hepatitis B vaccinations, in accordance with California Health and Safety Code Section 114735.</w:t>
      </w:r>
    </w:p>
    <w:p>
      <w:pPr>
        <w:numPr>
          <w:ilvl w:val="0"/>
          <w:numId w:val="1001"/>
        </w:numPr>
        <w:pStyle w:val="Compact"/>
      </w:pPr>
      <w:r>
        <w:t xml:space="preserve">Offering patient counseling on medication adherence, side effect management, and lifestyle modifications during scheduled consultation hours.</w:t>
      </w:r>
    </w:p>
    <w:p>
      <w:pPr>
        <w:numPr>
          <w:ilvl w:val="0"/>
          <w:numId w:val="1001"/>
        </w:numPr>
        <w:pStyle w:val="Compact"/>
      </w:pPr>
      <w:r>
        <w:t xml:space="preserve">Collaborating with the client's medical staff on formulary management, cost-containment strategies, and clinical protocol development.</w:t>
      </w:r>
    </w:p>
    <w:p>
      <w:pPr>
        <w:numPr>
          <w:ilvl w:val="0"/>
          <w:numId w:val="1001"/>
        </w:numPr>
        <w:pStyle w:val="Compact"/>
      </w:pPr>
      <w:r>
        <w:t xml:space="preserve">Maintaining all required documentation, including prescription records, adverse event reports, and annual compliance audits mandated by the Los Angeles County Department of Public Health.</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Pharmacist – Full-Time Clinical Services (40 hrs/week)</w:t>
            </w:r>
          </w:p>
        </w:tc>
        <w:tc>
          <w:tcPr/>
          <w:p>
            <w:pPr>
              <w:pStyle w:val="Compact"/>
              <w:jc w:val="left"/>
            </w:pPr>
            <w:r>
              <w:t xml:space="preserve">12 months</w:t>
            </w:r>
          </w:p>
        </w:tc>
        <w:tc>
          <w:tcPr/>
          <w:p>
            <w:pPr>
              <w:pStyle w:val="Compact"/>
              <w:jc w:val="left"/>
            </w:pPr>
            <w:r>
              <w:t xml:space="preserve">$118,500 / yr</w:t>
            </w:r>
          </w:p>
        </w:tc>
        <w:tc>
          <w:tcPr/>
          <w:p>
            <w:pPr>
              <w:pStyle w:val="Compact"/>
              <w:jc w:val="left"/>
            </w:pPr>
            <w:r>
              <w:t xml:space="preserve">$118,500.00</w:t>
            </w:r>
          </w:p>
        </w:tc>
      </w:tr>
      <w:tr>
        <w:tc>
          <w:tcPr/>
          <w:p>
            <w:pPr>
              <w:pStyle w:val="Compact"/>
              <w:jc w:val="left"/>
            </w:pPr>
            <w:r>
              <w:t xml:space="preserve">02</w:t>
            </w:r>
          </w:p>
        </w:tc>
        <w:tc>
          <w:tcPr/>
          <w:p>
            <w:pPr>
              <w:pStyle w:val="Compact"/>
              <w:jc w:val="left"/>
            </w:pPr>
            <w:r>
              <w:t xml:space="preserve">Pharmacist Onboarding, Licensing Verification &amp; Credentialing</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Continuing Education &amp; Professional Development (CA CPE Credits)</w:t>
            </w:r>
          </w:p>
        </w:tc>
        <w:tc>
          <w:tcPr/>
          <w:p>
            <w:pPr>
              <w:pStyle w:val="Compact"/>
              <w:jc w:val="left"/>
            </w:pPr>
            <w:r>
              <w:t xml:space="preserve">12 months</w:t>
            </w:r>
          </w:p>
        </w:tc>
        <w:tc>
          <w:tcPr/>
          <w:p>
            <w:pPr>
              <w:pStyle w:val="Compact"/>
              <w:jc w:val="left"/>
            </w:pPr>
            <w:r>
              <w:t xml:space="preserve">$1,800.00 / yr</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Pharmacy Management Software License &amp; Integration (Cerner / Epic)</w:t>
            </w:r>
          </w:p>
        </w:tc>
        <w:tc>
          <w:tcPr/>
          <w:p>
            <w:pPr>
              <w:pStyle w:val="Compact"/>
              <w:jc w:val="left"/>
            </w:pPr>
            <w:r>
              <w:t xml:space="preserve">12 months</w:t>
            </w:r>
          </w:p>
        </w:tc>
        <w:tc>
          <w:tcPr/>
          <w:p>
            <w:pPr>
              <w:pStyle w:val="Compact"/>
              <w:jc w:val="left"/>
            </w:pPr>
            <w:r>
              <w:t xml:space="preserve">$4,200.00 / yr</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Controlled Substance Compliance Auditing &amp; DEA Reporting</w:t>
            </w:r>
          </w:p>
        </w:tc>
        <w:tc>
          <w:tcPr/>
          <w:p>
            <w:pPr>
              <w:pStyle w:val="Compact"/>
              <w:jc w:val="left"/>
            </w:pPr>
            <w:r>
              <w:t xml:space="preserve">Quarterly (4x)</w:t>
            </w:r>
          </w:p>
        </w:tc>
        <w:tc>
          <w:tcPr/>
          <w:p>
            <w:pPr>
              <w:pStyle w:val="Compact"/>
              <w:jc w:val="left"/>
            </w:pPr>
            <w:r>
              <w:t xml:space="preserve">$1,500.00 / audit</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Immunization Program Setup &amp; Ongoing Administration</w:t>
            </w:r>
          </w:p>
        </w:tc>
        <w:tc>
          <w:tcPr/>
          <w:p>
            <w:pPr>
              <w:pStyle w:val="Compact"/>
              <w:jc w:val="left"/>
            </w:pPr>
            <w:r>
              <w:t xml:space="preserve">12 months</w:t>
            </w:r>
          </w:p>
        </w:tc>
        <w:tc>
          <w:tcPr/>
          <w:p>
            <w:pPr>
              <w:pStyle w:val="Compact"/>
              <w:jc w:val="left"/>
            </w:pPr>
            <w:r>
              <w:t xml:space="preserve">$3,600.00 / yr</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Professional Liability Insurance (Pharmacist Malpractice Coverage)</w:t>
            </w:r>
          </w:p>
        </w:tc>
        <w:tc>
          <w:tcPr/>
          <w:p>
            <w:pPr>
              <w:pStyle w:val="Compact"/>
              <w:jc w:val="left"/>
            </w:pPr>
            <w:r>
              <w:t xml:space="preserve">12 months</w:t>
            </w:r>
          </w:p>
        </w:tc>
        <w:tc>
          <w:tcPr/>
          <w:p>
            <w:pPr>
              <w:pStyle w:val="Compact"/>
              <w:jc w:val="left"/>
            </w:pPr>
            <w:r>
              <w:t xml:space="preserve">$5,200.00 / yr</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Administrative Support &amp; Scheduling Coordination</w:t>
            </w:r>
          </w:p>
        </w:tc>
        <w:tc>
          <w:tcPr/>
          <w:p>
            <w:pPr>
              <w:pStyle w:val="Compact"/>
              <w:jc w:val="left"/>
            </w:pPr>
            <w:r>
              <w:t xml:space="preserve">12 months</w:t>
            </w:r>
          </w:p>
        </w:tc>
        <w:tc>
          <w:tcPr/>
          <w:p>
            <w:pPr>
              <w:pStyle w:val="Compact"/>
              <w:jc w:val="left"/>
            </w:pPr>
            <w:r>
              <w:t xml:space="preserve">$7,800.00 / yr</w:t>
            </w:r>
          </w:p>
        </w:tc>
        <w:tc>
          <w:tcPr/>
          <w:p>
            <w:pPr>
              <w:pStyle w:val="Compact"/>
              <w:jc w:val="left"/>
            </w:pPr>
            <w:r>
              <w:t xml:space="preserve">$7,800.00</w:t>
            </w:r>
          </w:p>
        </w:tc>
      </w:tr>
      <w:tr>
        <w:tc>
          <w:tcPr>
            <w:gridSpan w:val="4"/>
          </w:tcPr>
          <w:p>
            <w:pPr>
              <w:pStyle w:val="Compact"/>
              <w:jc w:val="left"/>
            </w:pPr>
            <w:r>
              <w:t xml:space="preserve">Subtotal</w:t>
            </w:r>
          </w:p>
        </w:tc>
        <w:tc>
          <w:tcPr/>
          <w:p>
            <w:pPr>
              <w:pStyle w:val="Compact"/>
              <w:jc w:val="left"/>
            </w:pPr>
            <w:r>
              <w:t xml:space="preserve">$149,500.00</w:t>
            </w:r>
          </w:p>
        </w:tc>
      </w:tr>
      <w:tr>
        <w:tc>
          <w:tcPr>
            <w:gridSpan w:val="4"/>
          </w:tcPr>
          <w:p>
            <w:pPr>
              <w:pStyle w:val="Compact"/>
              <w:jc w:val="left"/>
            </w:pPr>
            <w:r>
              <w:t xml:space="preserve">Applicable Taxes &amp; Regulatory Fees (Los Angeles County)</w:t>
            </w:r>
          </w:p>
        </w:tc>
        <w:tc>
          <w:tcPr/>
          <w:p>
            <w:pPr>
              <w:pStyle w:val="Compact"/>
              <w:jc w:val="left"/>
            </w:pPr>
            <w:r>
              <w:t xml:space="preserve">$4,485.00</w:t>
            </w:r>
          </w:p>
        </w:tc>
      </w:tr>
      <w:tr>
        <w:tc>
          <w:tcPr>
            <w:gridSpan w:val="4"/>
          </w:tcPr>
          <w:p>
            <w:pPr>
              <w:pStyle w:val="Compact"/>
              <w:jc w:val="left"/>
            </w:pPr>
            <w:r>
              <w:rPr>
                <w:bCs/>
                <w:b/>
              </w:rPr>
              <w:t xml:space="preserve">TOTAL ESTIMATED COST (USD)</w:t>
            </w:r>
          </w:p>
        </w:tc>
        <w:tc>
          <w:tcPr/>
          <w:p>
            <w:pPr>
              <w:pStyle w:val="Compact"/>
              <w:jc w:val="left"/>
            </w:pPr>
            <w:r>
              <w:rPr>
                <w:bCs/>
                <w:b/>
              </w:rPr>
              <w:t xml:space="preserve">$153,985.00</w:t>
            </w:r>
          </w:p>
        </w:tc>
      </w:tr>
    </w:tbl>
    <w:bookmarkEnd w:id="24"/>
    <w:bookmarkStart w:id="25" w:name="payment-schedule"/>
    <w:p>
      <w:pPr>
        <w:pStyle w:val="Heading2"/>
      </w:pPr>
      <w:r>
        <w:t xml:space="preserve">3. Payment Schedule</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schedule, subject to the client's approval and execution of the master service agreement:</w:t>
      </w:r>
    </w:p>
    <w:p>
      <w:pPr>
        <w:numPr>
          <w:ilvl w:val="0"/>
          <w:numId w:val="1002"/>
        </w:numPr>
        <w:pStyle w:val="Compact"/>
      </w:pPr>
      <w:r>
        <w:rPr>
          <w:bCs/>
          <w:b/>
        </w:rPr>
        <w:t xml:space="preserve">Initial Deposit (25%):</w:t>
      </w:r>
      <w:r>
        <w:t xml:space="preserve"> </w:t>
      </w:r>
      <w:r>
        <w:t xml:space="preserve">$38,496.25 – Due upon contract execution, no later than July 1, 2025.</w:t>
      </w:r>
    </w:p>
    <w:p>
      <w:pPr>
        <w:numPr>
          <w:ilvl w:val="0"/>
          <w:numId w:val="1002"/>
        </w:numPr>
        <w:pStyle w:val="Compact"/>
      </w:pPr>
      <w:r>
        <w:rPr>
          <w:bCs/>
          <w:b/>
        </w:rPr>
        <w:t xml:space="preserve">Quarterly Installments (25% each):</w:t>
      </w:r>
      <w:r>
        <w:t xml:space="preserve"> </w:t>
      </w:r>
      <w:r>
        <w:t xml:space="preserve">$38,496.25 – Due on the first business day of October 2025, January 2026, and April 2026.</w:t>
      </w:r>
    </w:p>
    <w:p>
      <w:pPr>
        <w:numPr>
          <w:ilvl w:val="0"/>
          <w:numId w:val="1002"/>
        </w:numPr>
        <w:pStyle w:val="Compact"/>
      </w:pPr>
      <w:r>
        <w:rPr>
          <w:bCs/>
          <w:b/>
        </w:rPr>
        <w:t xml:space="preserve">Final Payment (25%):</w:t>
      </w:r>
      <w:r>
        <w:t xml:space="preserve"> </w:t>
      </w:r>
      <w:r>
        <w:t xml:space="preserve">$38,496.25 – Due upon successful completion of the 12-month service period and final compliance audit.</w:t>
      </w:r>
    </w:p>
    <w:p>
      <w:pPr>
        <w:pStyle w:val="FirstParagraph"/>
      </w:pPr>
      <w:r>
        <w:t xml:space="preserve">All payments shall be made via wire transfer to the account designated by MediPharm Professional Services, Inc. Late payments exceeding fifteen (15) calendar days shall incur a penalty of 1.5% per month on the outstanding balance.</w:t>
      </w:r>
    </w:p>
    <w:bookmarkEnd w:id="25"/>
    <w:bookmarkStart w:id="26"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Pharmacist</w:t>
      </w:r>
      <w:r>
        <w:t xml:space="preserve"> </w:t>
      </w:r>
      <w:r>
        <w:t xml:space="preserve">candidate are subject to re-evaluation and potential revision.</w:t>
      </w:r>
    </w:p>
    <w:p>
      <w:pPr>
        <w:numPr>
          <w:ilvl w:val="0"/>
          <w:numId w:val="1003"/>
        </w:numPr>
        <w:pStyle w:val="Compact"/>
      </w:pPr>
      <w:r>
        <w:t xml:space="preserve">The</w:t>
      </w:r>
      <w:r>
        <w:t xml:space="preserve"> </w:t>
      </w:r>
      <w:r>
        <w:t xml:space="preserve">Pharmacist</w:t>
      </w:r>
      <w:r>
        <w:t xml:space="preserve"> </w:t>
      </w:r>
      <w:r>
        <w:t xml:space="preserve">engaged under this agreement must hold an active, unrestricted California Pharmacist License issued by the California Board of Pharmacy and a valid federal DEA registration. All licensure documents shall be verified prior to the commencement of services in</w:t>
      </w:r>
      <w:r>
        <w:t xml:space="preserve"> </w:t>
      </w:r>
      <w:r>
        <w:t xml:space="preserve">United States Los Angeles</w:t>
      </w:r>
      <w:r>
        <w:t xml:space="preserve">.</w:t>
      </w:r>
    </w:p>
    <w:p>
      <w:pPr>
        <w:numPr>
          <w:ilvl w:val="0"/>
          <w:numId w:val="1003"/>
        </w:numPr>
        <w:pStyle w:val="Compact"/>
      </w:pPr>
      <w:r>
        <w:t xml:space="preserve">MediPharm Professional Services, Inc. reserves the right to substitute the assigned</w:t>
      </w:r>
      <w:r>
        <w:t xml:space="preserve"> </w:t>
      </w:r>
      <w:r>
        <w:t xml:space="preserve">Pharmacist</w:t>
      </w:r>
      <w:r>
        <w:t xml:space="preserve"> </w:t>
      </w:r>
      <w:r>
        <w:t xml:space="preserve">with a qualified equivalent should the original candidate become unavailable, provided the substitute meets or exceeds the same credentials and experience requirements.</w:t>
      </w:r>
    </w:p>
    <w:p>
      <w:pPr>
        <w:numPr>
          <w:ilvl w:val="0"/>
          <w:numId w:val="1003"/>
        </w:numPr>
        <w:pStyle w:val="Compact"/>
      </w:pPr>
      <w:r>
        <w:t xml:space="preserve">All services rendered shall comply with the Health Insurance Portability and Accountability Act (HIPAA), the California Confidentiality of Medical Information Act (CMIA), and all applicable Los Angeles municipal health ordinances.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Master Service Agreement. The terms herein serve solely as a good-faith estimate of costs and service parameters.</w:t>
      </w:r>
    </w:p>
    <w:p>
      <w:pPr>
        <w:numPr>
          <w:ilvl w:val="0"/>
          <w:numId w:val="1003"/>
        </w:numPr>
        <w:pStyle w:val="Compact"/>
      </w:pPr>
      <w:r>
        <w:t xml:space="preserve">Any modifications to the scope of services, additional clinical responsibilities, or changes in the operational location within</w:t>
      </w:r>
      <w:r>
        <w:t xml:space="preserve"> </w:t>
      </w:r>
      <w:r>
        <w:t xml:space="preserve">United States Los Angeles</w:t>
      </w:r>
      <w:r>
        <w:t xml:space="preserve"> </w:t>
      </w:r>
      <w:r>
        <w:t xml:space="preserve">must be documented in a written amendment signed by both parties prior to implementation.</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agreement shall be resolved through binding arbitration in Los Angeles, California, in accordance with the rules of the American Arbitration Association.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Pharmacist</w:t>
      </w:r>
      <w:r>
        <w:t xml:space="preserve"> </w:t>
      </w:r>
      <w:r>
        <w:t xml:space="preserve">to deliver professional pharmaceutical services in</w:t>
      </w:r>
      <w:r>
        <w:t xml:space="preserve"> </w:t>
      </w:r>
      <w:r>
        <w:t xml:space="preserve">United States Los Angeles</w:t>
      </w:r>
      <w:r>
        <w:t xml:space="preserve">.</w:t>
      </w:r>
    </w:p>
    <w:p>
      <w:pPr>
        <w:pStyle w:val="BodyText"/>
      </w:pPr>
      <w:r>
        <w:t xml:space="preserve">Authorized Representative – Client</w:t>
      </w:r>
      <w:r>
        <w:br/>
      </w:r>
      <w:r>
        <w:t xml:space="preserve">Pacific Coast Health Network, LLC</w:t>
      </w:r>
      <w:r>
        <w:br/>
      </w:r>
      <w:r>
        <w:t xml:space="preserve">Name / Title / Date / Signature</w:t>
      </w:r>
    </w:p>
    <w:p>
      <w:pPr>
        <w:pStyle w:val="BodyText"/>
      </w:pPr>
      <w:r>
        <w:t xml:space="preserve">Authorized Representative – Provider</w:t>
      </w:r>
      <w:r>
        <w:br/>
      </w:r>
      <w:r>
        <w:t xml:space="preserve">MediPharm Professional Services, Inc.</w:t>
      </w:r>
      <w:r>
        <w:br/>
      </w:r>
      <w:r>
        <w:t xml:space="preserve">Name / Title / Date / Signature</w:t>
      </w:r>
    </w:p>
    <w:p>
      <w:pPr>
        <w:pStyle w:val="BodyText"/>
      </w:pPr>
      <w:r>
        <w:t xml:space="preserve">MediPharm Professional Services, Inc. | 1200 Wilshire Blvd, Suite 450, Los Angeles, CA 90017 | United States</w:t>
      </w:r>
    </w:p>
    <w:p>
      <w:pPr>
        <w:pStyle w:val="BodyText"/>
      </w:pPr>
      <w:r>
        <w:t xml:space="preserve">Quotation No. QTE-2025-LA-0472 | This document is confidential and intended solely for the named recipient.</w:t>
      </w:r>
    </w:p>
    <w:p>
      <w:pPr>
        <w:pStyle w:val="BodyText"/>
      </w:pPr>
      <w:r>
        <w:t xml:space="preserve">Page 1 of 1 | Generated: June 12,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States Los Angeles</dc:title>
  <dc:creator/>
  <dc:language>en</dc:language>
  <cp:keywords/>
  <dcterms:created xsi:type="dcterms:W3CDTF">2026-10-10T08:50:41Z</dcterms:created>
  <dcterms:modified xsi:type="dcterms:W3CDTF">2026-10-10T08:50:41Z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