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Pharmacist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quotation-estimate"/>
    <w:p>
      <w:pPr>
        <w:pStyle w:val="Heading1"/>
      </w:pPr>
      <w:r>
        <w:t xml:space="preserve">QUOTATION ESTIMATE</w:t>
      </w:r>
    </w:p>
    <w:p>
      <w:pPr>
        <w:pStyle w:val="FirstParagraph"/>
      </w:pPr>
      <w:r>
        <w:t xml:space="preserve">Professional Pharmacist Services &amp; Consulting</w:t>
      </w:r>
    </w:p>
    <w:p>
      <w:pPr>
        <w:pStyle w:val="BodyText"/>
      </w:pPr>
      <w:r>
        <w:t xml:space="preserve">Miami, Florida — United States</w:t>
      </w:r>
    </w:p>
    <w:p>
      <w:pPr>
        <w:pStyle w:val="BodyText"/>
      </w:pPr>
      <w:r>
        <w:t xml:space="preserve">Document Reference: QE-PHARM-2025-0047</w:t>
      </w:r>
    </w:p>
    <w:bookmarkEnd w:id="20"/>
    <w:p>
      <w:pPr>
        <w:pStyle w:val="BodyText"/>
      </w:pPr>
      <w:r>
        <w:rPr>
          <w:bCs/>
          <w:b/>
        </w:rPr>
        <w:t xml:space="preserve">Quotation Date:</w:t>
      </w:r>
      <w:r>
        <w:t xml:space="preserve"> </w:t>
      </w:r>
      <w:r>
        <w:t xml:space="preserve">June 15, 2025</w:t>
      </w:r>
    </w:p>
    <w:p>
      <w:pPr>
        <w:pStyle w:val="BodyText"/>
      </w:pPr>
      <w:r>
        <w:rPr>
          <w:bCs/>
          <w:b/>
        </w:rPr>
        <w:t xml:space="preserve">Valid Until:</w:t>
      </w:r>
      <w:r>
        <w:t xml:space="preserve"> </w:t>
      </w:r>
      <w:r>
        <w:t xml:space="preserve">July 15, 2025</w:t>
      </w:r>
    </w:p>
    <w:p>
      <w:pPr>
        <w:pStyle w:val="BodyText"/>
      </w:pPr>
      <w:r>
        <w:rPr>
          <w:bCs/>
          <w:b/>
        </w:rPr>
        <w:t xml:space="preserve">Prepared For:</w:t>
      </w:r>
      <w:r>
        <w:t xml:space="preserve"> </w:t>
      </w:r>
      <w:r>
        <w:t xml:space="preserve">[Client Name / Organization]</w:t>
      </w:r>
    </w:p>
    <w:p>
      <w:pPr>
        <w:pStyle w:val="BodyText"/>
      </w:pPr>
      <w:r>
        <w:rPr>
          <w:bCs/>
          <w:b/>
        </w:rPr>
        <w:t xml:space="preserve">Prepared By:</w:t>
      </w:r>
      <w:r>
        <w:t xml:space="preserve"> </w:t>
      </w:r>
      <w:r>
        <w:t xml:space="preserve">Dr. Elena Vasquez, PharmD</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to provide a comprehensive and transparent breakdown of professional fees, service charges, and associated costs for the engagement of a licensed</w:t>
      </w:r>
      <w:r>
        <w:t xml:space="preserve"> </w:t>
      </w:r>
      <w:r>
        <w:t xml:space="preserve">Pharmacist</w:t>
      </w:r>
      <w:r>
        <w:t xml:space="preserve"> </w:t>
      </w:r>
      <w:r>
        <w:t xml:space="preserve">to deliver pharmaceutical consulting, medication management, and regulatory compliance services within the</w:t>
      </w:r>
      <w:r>
        <w:t xml:space="preserve"> </w:t>
      </w:r>
      <w:r>
        <w:t xml:space="preserve">United States Miami</w:t>
      </w:r>
      <w:r>
        <w:t xml:space="preserve"> </w:t>
      </w:r>
      <w:r>
        <w:t xml:space="preserve">metropolitan area. This document serves as a binding financial proposal and outlines the scope of work, deliverables, timelines, and payment structure for the proposed engagement.</w:t>
      </w:r>
    </w:p>
    <w:p>
      <w:pPr>
        <w:pStyle w:val="BodyText"/>
      </w:pPr>
      <w:r>
        <w:t xml:space="preserve">The</w:t>
      </w:r>
      <w:r>
        <w:t xml:space="preserve"> </w:t>
      </w:r>
      <w:r>
        <w:t xml:space="preserve">Pharmacist</w:t>
      </w:r>
      <w:r>
        <w:t xml:space="preserve"> </w:t>
      </w:r>
      <w:r>
        <w:t xml:space="preserve">services described herein are tailored specifically to the regulatory environment, healthcare infrastructure, and patient demographics unique to</w:t>
      </w:r>
      <w:r>
        <w:t xml:space="preserve"> </w:t>
      </w:r>
      <w:r>
        <w:t xml:space="preserve">United States Miami</w:t>
      </w:r>
      <w:r>
        <w:t xml:space="preserve">, including compliance with Florida Board of Pharmacy regulations, FDA guidelines, and local municipal health ordinances applicable to the Miami-Dade County jurisdiction.</w:t>
      </w:r>
    </w:p>
    <w:bookmarkEnd w:id="21"/>
    <w:bookmarkStart w:id="22" w:name="scope-of-pharmacist-services"/>
    <w:p>
      <w:pPr>
        <w:pStyle w:val="Heading2"/>
      </w:pPr>
      <w:r>
        <w:t xml:space="preserve">2. Scope of Pharmacist Services</w:t>
      </w:r>
    </w:p>
    <w:p>
      <w:pPr>
        <w:pStyle w:val="FirstParagraph"/>
      </w:pPr>
      <w:r>
        <w:t xml:space="preserve">The following professional services are included under this</w:t>
      </w:r>
      <w:r>
        <w:t xml:space="preserve"> </w:t>
      </w:r>
      <w:r>
        <w:t xml:space="preserve">Quotation Estimate</w:t>
      </w:r>
      <w:r>
        <w:t xml:space="preserve"> </w:t>
      </w:r>
      <w:r>
        <w:t xml:space="preserve">for the</w:t>
      </w:r>
      <w:r>
        <w:t xml:space="preserve"> </w:t>
      </w:r>
      <w:r>
        <w:t xml:space="preserve">Pharmacist</w:t>
      </w:r>
      <w:r>
        <w:t xml:space="preserve"> </w:t>
      </w:r>
      <w:r>
        <w:t xml:space="preserve">engagement in</w:t>
      </w:r>
      <w:r>
        <w:t xml:space="preserve"> </w:t>
      </w:r>
      <w:r>
        <w:t xml:space="preserve">United States Miami</w:t>
      </w:r>
      <w:r>
        <w:t xml:space="preserve">:</w:t>
      </w:r>
    </w:p>
    <w:p>
      <w:pPr>
        <w:numPr>
          <w:ilvl w:val="0"/>
          <w:numId w:val="1001"/>
        </w:numPr>
        <w:pStyle w:val="Compact"/>
      </w:pPr>
      <w:r>
        <w:rPr>
          <w:bCs/>
          <w:b/>
        </w:rPr>
        <w:t xml:space="preserve">Pharmaceutical Consultation &amp; Advisory:</w:t>
      </w:r>
      <w:r>
        <w:t xml:space="preserve"> </w:t>
      </w:r>
      <w:r>
        <w:t xml:space="preserve">Ongoing clinical pharmacy consultation for institutional or private healthcare facilities located in the Miami, Florida region, including drug interaction reviews, therapeutic substitutions, and formulary management.</w:t>
      </w:r>
    </w:p>
    <w:p>
      <w:pPr>
        <w:numPr>
          <w:ilvl w:val="0"/>
          <w:numId w:val="1001"/>
        </w:numPr>
        <w:pStyle w:val="Compact"/>
      </w:pPr>
      <w:r>
        <w:rPr>
          <w:bCs/>
          <w:b/>
        </w:rPr>
        <w:t xml:space="preserve">Medication Management Programs:</w:t>
      </w:r>
      <w:r>
        <w:t xml:space="preserve"> </w:t>
      </w:r>
      <w:r>
        <w:t xml:space="preserve">Design and implementation of comprehensive medication therapy management (MTM) programs for patient populations in the</w:t>
      </w:r>
      <w:r>
        <w:t xml:space="preserve"> </w:t>
      </w:r>
      <w:r>
        <w:t xml:space="preserve">United States Miami</w:t>
      </w:r>
      <w:r>
        <w:t xml:space="preserve"> </w:t>
      </w:r>
      <w:r>
        <w:t xml:space="preserve">area, with emphasis on chronic disease management, polypharmacy reduction, and patient adherence strategies.</w:t>
      </w:r>
    </w:p>
    <w:p>
      <w:pPr>
        <w:numPr>
          <w:ilvl w:val="0"/>
          <w:numId w:val="1001"/>
        </w:numPr>
        <w:pStyle w:val="Compact"/>
      </w:pPr>
      <w:r>
        <w:rPr>
          <w:bCs/>
          <w:b/>
        </w:rPr>
        <w:t xml:space="preserve">Regulatory Compliance &amp; Auditing:</w:t>
      </w:r>
      <w:r>
        <w:t xml:space="preserve"> </w:t>
      </w:r>
      <w:r>
        <w:t xml:space="preserve">Full compliance review and audit services ensuring adherence to Florida Statutes Chapter 465, DEA regulations, and all applicable federal and state pharmacy practice standards within the</w:t>
      </w:r>
      <w:r>
        <w:t xml:space="preserve"> </w:t>
      </w:r>
      <w:r>
        <w:t xml:space="preserve">United States Miami</w:t>
      </w:r>
      <w:r>
        <w:t xml:space="preserve"> </w:t>
      </w:r>
      <w:r>
        <w:t xml:space="preserve">jurisdiction.</w:t>
      </w:r>
    </w:p>
    <w:p>
      <w:pPr>
        <w:numPr>
          <w:ilvl w:val="0"/>
          <w:numId w:val="1001"/>
        </w:numPr>
        <w:pStyle w:val="Compact"/>
      </w:pPr>
      <w:r>
        <w:rPr>
          <w:bCs/>
          <w:b/>
        </w:rPr>
        <w:t xml:space="preserve">Staff Training &amp; Development:</w:t>
      </w:r>
      <w:r>
        <w:t xml:space="preserve"> </w:t>
      </w:r>
      <w:r>
        <w:t xml:space="preserve">On-site and virtual training sessions for pharmacy technicians, nursing staff, and healthcare administrators on best practices in pharmaceutical care, controlled substance handling, and patient counseling protocols.</w:t>
      </w:r>
    </w:p>
    <w:p>
      <w:pPr>
        <w:numPr>
          <w:ilvl w:val="0"/>
          <w:numId w:val="1001"/>
        </w:numPr>
        <w:pStyle w:val="Compact"/>
      </w:pPr>
      <w:r>
        <w:rPr>
          <w:bCs/>
          <w:b/>
        </w:rPr>
        <w:t xml:space="preserve">Pharmacy Operations Consulting:</w:t>
      </w:r>
      <w:r>
        <w:t xml:space="preserve"> </w:t>
      </w:r>
      <w:r>
        <w:t xml:space="preserve">Strategic advisory on pharmacy workflow optimization, inventory management, supply chain logistics, and quality assurance systems for retail or institutional pharmacy operations in</w:t>
      </w:r>
      <w:r>
        <w:t xml:space="preserve"> </w:t>
      </w:r>
      <w:r>
        <w:t xml:space="preserve">United States Miami</w:t>
      </w:r>
      <w:r>
        <w:t xml:space="preserve">.</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Frequency</w:t>
            </w:r>
          </w:p>
        </w:tc>
        <w:tc>
          <w:tcPr/>
          <w:p>
            <w:pPr>
              <w:pStyle w:val="Compact"/>
              <w:jc w:val="left"/>
            </w:pPr>
            <w:r>
              <w:t xml:space="preserve">Rate (USD)</w:t>
            </w:r>
          </w:p>
        </w:tc>
        <w:tc>
          <w:tcPr/>
          <w:p>
            <w:pPr>
              <w:pStyle w:val="Compact"/>
              <w:jc w:val="left"/>
            </w:pPr>
            <w:r>
              <w:t xml:space="preserve">Subtotal (USD)</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Pharmacist Clinical Consultation &amp; Advisory Services</w:t>
            </w:r>
          </w:p>
        </w:tc>
        <w:tc>
          <w:tcPr/>
          <w:p>
            <w:pPr>
              <w:pStyle w:val="Compact"/>
              <w:jc w:val="left"/>
            </w:pPr>
            <w:r>
              <w:t xml:space="preserve">40 hours / month (12 months)</w:t>
            </w:r>
          </w:p>
        </w:tc>
        <w:tc>
          <w:tcPr/>
          <w:p>
            <w:pPr>
              <w:pStyle w:val="Compact"/>
              <w:jc w:val="left"/>
            </w:pPr>
            <w:r>
              <w:t xml:space="preserve">$185.00 / hr</w:t>
            </w:r>
          </w:p>
        </w:tc>
        <w:tc>
          <w:tcPr/>
          <w:p>
            <w:pPr>
              <w:pStyle w:val="Compact"/>
              <w:jc w:val="left"/>
            </w:pPr>
            <w:r>
              <w:t xml:space="preserve">$88,800.00</w:t>
            </w:r>
          </w:p>
        </w:tc>
        <w:tc>
          <w:tcPr/>
          <w:p>
            <w:pPr>
              <w:pStyle w:val="Compact"/>
              <w:jc w:val="left"/>
            </w:pPr>
            <w:r>
              <w:t xml:space="preserve">On-site in Miami, FL</w:t>
            </w:r>
          </w:p>
        </w:tc>
      </w:tr>
      <w:tr>
        <w:tc>
          <w:tcPr/>
          <w:p>
            <w:pPr>
              <w:pStyle w:val="Compact"/>
              <w:jc w:val="left"/>
            </w:pPr>
            <w:r>
              <w:t xml:space="preserve">2</w:t>
            </w:r>
          </w:p>
        </w:tc>
        <w:tc>
          <w:tcPr/>
          <w:p>
            <w:pPr>
              <w:pStyle w:val="Compact"/>
              <w:jc w:val="left"/>
            </w:pPr>
            <w:r>
              <w:t xml:space="preserve">Medication Therapy Management (MTM) Program Design &amp; Implementation</w:t>
            </w:r>
          </w:p>
        </w:tc>
        <w:tc>
          <w:tcPr/>
          <w:p>
            <w:pPr>
              <w:pStyle w:val="Compact"/>
              <w:jc w:val="left"/>
            </w:pPr>
            <w:r>
              <w:t xml:space="preserve">One-time project (80 hours)</w:t>
            </w:r>
          </w:p>
        </w:tc>
        <w:tc>
          <w:tcPr/>
          <w:p>
            <w:pPr>
              <w:pStyle w:val="Compact"/>
              <w:jc w:val="left"/>
            </w:pPr>
            <w:r>
              <w:t xml:space="preserve">$210.00 / hr</w:t>
            </w:r>
          </w:p>
        </w:tc>
        <w:tc>
          <w:tcPr/>
          <w:p>
            <w:pPr>
              <w:pStyle w:val="Compact"/>
              <w:jc w:val="left"/>
            </w:pPr>
            <w:r>
              <w:t xml:space="preserve">$16,800.00</w:t>
            </w:r>
          </w:p>
        </w:tc>
        <w:tc>
          <w:tcPr/>
          <w:p>
            <w:pPr>
              <w:pStyle w:val="Compact"/>
              <w:jc w:val="left"/>
            </w:pPr>
            <w:r>
              <w:t xml:space="preserve">Includes patient assessment tools</w:t>
            </w:r>
          </w:p>
        </w:tc>
      </w:tr>
      <w:tr>
        <w:tc>
          <w:tcPr/>
          <w:p>
            <w:pPr>
              <w:pStyle w:val="Compact"/>
              <w:jc w:val="left"/>
            </w:pPr>
            <w:r>
              <w:t xml:space="preserve">3</w:t>
            </w:r>
          </w:p>
        </w:tc>
        <w:tc>
          <w:tcPr/>
          <w:p>
            <w:pPr>
              <w:pStyle w:val="Compact"/>
              <w:jc w:val="left"/>
            </w:pPr>
            <w:r>
              <w:t xml:space="preserve">Regulatory Compliance Audit &amp; Reporting (Florida / DEA)</w:t>
            </w:r>
          </w:p>
        </w:tc>
        <w:tc>
          <w:tcPr/>
          <w:p>
            <w:pPr>
              <w:pStyle w:val="Compact"/>
              <w:jc w:val="left"/>
            </w:pPr>
            <w:r>
              <w:t xml:space="preserve">Quarterly (4 sessions / year)</w:t>
            </w:r>
          </w:p>
        </w:tc>
        <w:tc>
          <w:tcPr/>
          <w:p>
            <w:pPr>
              <w:pStyle w:val="Compact"/>
              <w:jc w:val="left"/>
            </w:pPr>
            <w:r>
              <w:t xml:space="preserve">$3,500.00 / session</w:t>
            </w:r>
          </w:p>
        </w:tc>
        <w:tc>
          <w:tcPr/>
          <w:p>
            <w:pPr>
              <w:pStyle w:val="Compact"/>
              <w:jc w:val="left"/>
            </w:pPr>
            <w:r>
              <w:t xml:space="preserve">$14,000.00</w:t>
            </w:r>
          </w:p>
        </w:tc>
        <w:tc>
          <w:tcPr/>
          <w:p>
            <w:pPr>
              <w:pStyle w:val="Compact"/>
              <w:jc w:val="left"/>
            </w:pPr>
            <w:r>
              <w:t xml:space="preserve">United States Miami jurisdiction</w:t>
            </w:r>
          </w:p>
        </w:tc>
      </w:tr>
      <w:tr>
        <w:tc>
          <w:tcPr/>
          <w:p>
            <w:pPr>
              <w:pStyle w:val="Compact"/>
              <w:jc w:val="left"/>
            </w:pPr>
            <w:r>
              <w:t xml:space="preserve">4</w:t>
            </w:r>
          </w:p>
        </w:tc>
        <w:tc>
          <w:tcPr/>
          <w:p>
            <w:pPr>
              <w:pStyle w:val="Compact"/>
              <w:jc w:val="left"/>
            </w:pPr>
            <w:r>
              <w:t xml:space="preserve">Staff Training &amp; Development Workshops</w:t>
            </w:r>
          </w:p>
        </w:tc>
        <w:tc>
          <w:tcPr/>
          <w:p>
            <w:pPr>
              <w:pStyle w:val="Compact"/>
              <w:jc w:val="left"/>
            </w:pPr>
            <w:r>
              <w:t xml:space="preserve">6 sessions / year (4 hrs each)</w:t>
            </w:r>
          </w:p>
        </w:tc>
        <w:tc>
          <w:tcPr/>
          <w:p>
            <w:pPr>
              <w:pStyle w:val="Compact"/>
              <w:jc w:val="left"/>
            </w:pPr>
            <w:r>
              <w:t xml:space="preserve">$1,200.00 / session</w:t>
            </w:r>
          </w:p>
        </w:tc>
        <w:tc>
          <w:tcPr/>
          <w:p>
            <w:pPr>
              <w:pStyle w:val="Compact"/>
              <w:jc w:val="left"/>
            </w:pPr>
            <w:r>
              <w:t xml:space="preserve">$7,200.00</w:t>
            </w:r>
          </w:p>
        </w:tc>
        <w:tc>
          <w:tcPr/>
          <w:p>
            <w:pPr>
              <w:pStyle w:val="Compact"/>
              <w:jc w:val="left"/>
            </w:pPr>
            <w:r>
              <w:t xml:space="preserve">Up to 25 participants per session</w:t>
            </w:r>
          </w:p>
        </w:tc>
      </w:tr>
      <w:tr>
        <w:tc>
          <w:tcPr/>
          <w:p>
            <w:pPr>
              <w:pStyle w:val="Compact"/>
              <w:jc w:val="left"/>
            </w:pPr>
            <w:r>
              <w:t xml:space="preserve">5</w:t>
            </w:r>
          </w:p>
        </w:tc>
        <w:tc>
          <w:tcPr/>
          <w:p>
            <w:pPr>
              <w:pStyle w:val="Compact"/>
              <w:jc w:val="left"/>
            </w:pPr>
            <w:r>
              <w:t xml:space="preserve">Pharmacy Operations &amp; Workflow Consulting</w:t>
            </w:r>
          </w:p>
        </w:tc>
        <w:tc>
          <w:tcPr/>
          <w:p>
            <w:pPr>
              <w:pStyle w:val="Compact"/>
              <w:jc w:val="left"/>
            </w:pPr>
            <w:r>
              <w:t xml:space="preserve">20 hours / month (12 months)</w:t>
            </w:r>
          </w:p>
        </w:tc>
        <w:tc>
          <w:tcPr/>
          <w:p>
            <w:pPr>
              <w:pStyle w:val="Compact"/>
              <w:jc w:val="left"/>
            </w:pPr>
            <w:r>
              <w:t xml:space="preserve">$165.00 / hr</w:t>
            </w:r>
          </w:p>
        </w:tc>
        <w:tc>
          <w:tcPr/>
          <w:p>
            <w:pPr>
              <w:pStyle w:val="Compact"/>
              <w:jc w:val="left"/>
            </w:pPr>
            <w:r>
              <w:t xml:space="preserve">$39,600.00</w:t>
            </w:r>
          </w:p>
        </w:tc>
        <w:tc>
          <w:tcPr/>
          <w:p>
            <w:pPr>
              <w:pStyle w:val="Compact"/>
              <w:jc w:val="left"/>
            </w:pPr>
            <w:r>
              <w:t xml:space="preserve">Includes process documentation</w:t>
            </w:r>
          </w:p>
        </w:tc>
      </w:tr>
      <w:tr>
        <w:tc>
          <w:tcPr/>
          <w:p>
            <w:pPr>
              <w:pStyle w:val="Compact"/>
              <w:jc w:val="left"/>
            </w:pPr>
            <w:r>
              <w:t xml:space="preserve">6</w:t>
            </w:r>
          </w:p>
        </w:tc>
        <w:tc>
          <w:tcPr/>
          <w:p>
            <w:pPr>
              <w:pStyle w:val="Compact"/>
              <w:jc w:val="left"/>
            </w:pPr>
            <w:r>
              <w:t xml:space="preserve">Emergency / After-Hours Pharmacist Coverage</w:t>
            </w:r>
          </w:p>
        </w:tc>
        <w:tc>
          <w:tcPr/>
          <w:p>
            <w:pPr>
              <w:pStyle w:val="Compact"/>
              <w:jc w:val="left"/>
            </w:pPr>
            <w:r>
              <w:t xml:space="preserve">As needed (est. 24 hrs / year)</w:t>
            </w:r>
          </w:p>
        </w:tc>
        <w:tc>
          <w:tcPr/>
          <w:p>
            <w:pPr>
              <w:pStyle w:val="Compact"/>
              <w:jc w:val="left"/>
            </w:pPr>
            <w:r>
              <w:t xml:space="preserve">$250.00 / hr</w:t>
            </w:r>
          </w:p>
        </w:tc>
        <w:tc>
          <w:tcPr/>
          <w:p>
            <w:pPr>
              <w:pStyle w:val="Compact"/>
              <w:jc w:val="left"/>
            </w:pPr>
            <w:r>
              <w:t xml:space="preserve">$6,000.00</w:t>
            </w:r>
          </w:p>
        </w:tc>
        <w:tc>
          <w:tcPr/>
          <w:p>
            <w:pPr>
              <w:pStyle w:val="Compact"/>
              <w:jc w:val="left"/>
            </w:pPr>
            <w:r>
              <w:t xml:space="preserve">24/7 availability in Miami area</w:t>
            </w:r>
          </w:p>
        </w:tc>
      </w:tr>
      <w:tr>
        <w:tc>
          <w:tcPr/>
          <w:p>
            <w:pPr>
              <w:pStyle w:val="Compact"/>
              <w:jc w:val="left"/>
            </w:pPr>
            <w:r>
              <w:t xml:space="preserve">7</w:t>
            </w:r>
          </w:p>
        </w:tc>
        <w:tc>
          <w:tcPr/>
          <w:p>
            <w:pPr>
              <w:pStyle w:val="Compact"/>
              <w:jc w:val="left"/>
            </w:pPr>
            <w:r>
              <w:t xml:space="preserve">Travel &amp; Local Transportation (Miami-Dade County)</w:t>
            </w:r>
          </w:p>
        </w:tc>
        <w:tc>
          <w:tcPr/>
          <w:p>
            <w:pPr>
              <w:pStyle w:val="Compact"/>
              <w:jc w:val="left"/>
            </w:pPr>
            <w:r>
              <w:t xml:space="preserve">Monthly allowance</w:t>
            </w:r>
          </w:p>
        </w:tc>
        <w:tc>
          <w:tcPr/>
          <w:p>
            <w:pPr>
              <w:pStyle w:val="Compact"/>
              <w:jc w:val="left"/>
            </w:pPr>
            <w:r>
              <w:t xml:space="preserve">$450.00 / month</w:t>
            </w:r>
          </w:p>
        </w:tc>
        <w:tc>
          <w:tcPr/>
          <w:p>
            <w:pPr>
              <w:pStyle w:val="Compact"/>
              <w:jc w:val="left"/>
            </w:pPr>
            <w:r>
              <w:t xml:space="preserve">$5,400.00</w:t>
            </w:r>
          </w:p>
        </w:tc>
        <w:tc>
          <w:tcPr/>
          <w:p>
            <w:pPr>
              <w:pStyle w:val="Compact"/>
              <w:jc w:val="left"/>
            </w:pPr>
            <w:r>
              <w:t xml:space="preserve">Within United States Miami metro</w:t>
            </w:r>
          </w:p>
        </w:tc>
      </w:tr>
      <w:tr>
        <w:tc>
          <w:tcPr/>
          <w:p>
            <w:pPr>
              <w:pStyle w:val="Compact"/>
              <w:jc w:val="left"/>
            </w:pPr>
            <w:r>
              <w:t xml:space="preserve">8</w:t>
            </w:r>
          </w:p>
        </w:tc>
        <w:tc>
          <w:tcPr/>
          <w:p>
            <w:pPr>
              <w:pStyle w:val="Compact"/>
              <w:jc w:val="left"/>
            </w:pPr>
            <w:r>
              <w:t xml:space="preserve">Administrative &amp; Reporting Overhead</w:t>
            </w:r>
          </w:p>
        </w:tc>
        <w:tc>
          <w:tcPr/>
          <w:p>
            <w:pPr>
              <w:pStyle w:val="Compact"/>
              <w:jc w:val="left"/>
            </w:pPr>
            <w:r>
              <w:t xml:space="preserve">Annual</w:t>
            </w:r>
          </w:p>
        </w:tc>
        <w:tc>
          <w:tcPr/>
          <w:p>
            <w:pPr>
              <w:pStyle w:val="Compact"/>
              <w:jc w:val="left"/>
            </w:pPr>
            <w:r>
              <w:t xml:space="preserve">Flat fee</w:t>
            </w:r>
          </w:p>
        </w:tc>
        <w:tc>
          <w:tcPr/>
          <w:p>
            <w:pPr>
              <w:pStyle w:val="Compact"/>
              <w:jc w:val="left"/>
            </w:pPr>
            <w:r>
              <w:t xml:space="preserve">$4,800.00</w:t>
            </w:r>
          </w:p>
        </w:tc>
        <w:tc>
          <w:tcPr/>
          <w:p>
            <w:pPr>
              <w:pStyle w:val="Compact"/>
              <w:jc w:val="left"/>
            </w:pPr>
            <w:r>
              <w:t xml:space="preserve">Includes documentation &amp; filing</w:t>
            </w:r>
          </w:p>
        </w:tc>
      </w:tr>
      <w:tr>
        <w:tc>
          <w:tcPr>
            <w:gridSpan w:val="4"/>
          </w:tcPr>
          <w:p>
            <w:pPr>
              <w:pStyle w:val="Compact"/>
              <w:jc w:val="right"/>
            </w:pPr>
            <w:r>
              <w:t xml:space="preserve">TOTAL ESTIMATED ANNUAL COST</w:t>
            </w:r>
          </w:p>
        </w:tc>
        <w:tc>
          <w:tcPr/>
          <w:p>
            <w:pPr>
              <w:pStyle w:val="Compact"/>
              <w:jc w:val="left"/>
            </w:pPr>
            <w:r>
              <w:t xml:space="preserve">$182,600.00</w:t>
            </w:r>
          </w:p>
        </w:tc>
        <w:tc>
          <w:tcPr/>
          <w:p>
            <w:pPr>
              <w:pStyle w:val="Compact"/>
              <w:jc w:val="left"/>
            </w:pPr>
            <w:r>
              <w:t xml:space="preserve">USD</w:t>
            </w:r>
          </w:p>
        </w:tc>
      </w:tr>
    </w:tbl>
    <w:p>
      <w:pPr>
        <w:pStyle w:val="BodyText"/>
      </w:pPr>
      <w:r>
        <w:rPr>
          <w:bCs/>
          <w:b/>
        </w:rPr>
        <w:t xml:space="preserve">Note:</w:t>
      </w:r>
      <w:r>
        <w:t xml:space="preserve"> </w:t>
      </w:r>
      <w:r>
        <w:t xml:space="preserve">All rates quoted in this</w:t>
      </w:r>
      <w:r>
        <w:t xml:space="preserve"> </w:t>
      </w:r>
      <w:r>
        <w:t xml:space="preserve">Quotation Estimate</w:t>
      </w:r>
      <w:r>
        <w:t xml:space="preserve"> </w:t>
      </w:r>
      <w:r>
        <w:t xml:space="preserve">are in United States Dollars (USD) and are exclusive of applicable Florida state sales tax and Miami-Dade County local taxes, which will be calculated and added at the time of invoicing. The</w:t>
      </w:r>
      <w:r>
        <w:t xml:space="preserve"> </w:t>
      </w:r>
      <w:r>
        <w:t xml:space="preserve">Pharmacist</w:t>
      </w:r>
      <w:r>
        <w:t xml:space="preserve"> </w:t>
      </w:r>
      <w:r>
        <w:t xml:space="preserve">engagement is subject to verification of active Florida Board of Pharmacy licensure and DEA registration prior to commencement of services.</w:t>
      </w:r>
    </w:p>
    <w:bookmarkEnd w:id="23"/>
    <w:bookmarkStart w:id="24"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a period of thirty (30) calendar days from the date of issue. After the expiration date, all rates and terms are subject to revision based on market conditions in the</w:t>
      </w:r>
      <w:r>
        <w:t xml:space="preserve"> </w:t>
      </w:r>
      <w:r>
        <w:t xml:space="preserve">United States Miami</w:t>
      </w:r>
      <w:r>
        <w:t xml:space="preserve"> </w:t>
      </w:r>
      <w:r>
        <w:t xml:space="preserve">healthcare sector.</w:t>
      </w:r>
    </w:p>
    <w:p>
      <w:pPr>
        <w:numPr>
          <w:ilvl w:val="0"/>
          <w:numId w:val="1002"/>
        </w:numPr>
        <w:pStyle w:val="Compact"/>
      </w:pPr>
      <w:r>
        <w:t xml:space="preserve">Payment terms: Net 30 days from the date of invoice issuance. Invoices will be issued on a monthly basis for recurring services and upon project milestone completion for one-time deliverables.</w:t>
      </w:r>
    </w:p>
    <w:p>
      <w:pPr>
        <w:numPr>
          <w:ilvl w:val="0"/>
          <w:numId w:val="1002"/>
        </w:numPr>
        <w:pStyle w:val="Compact"/>
      </w:pPr>
      <w:r>
        <w:t xml:space="preserve">A non-refundable retainer fee of 15% of the total estimated annual cost ($27,390.00) is due upon execution of the service agreement to secure the</w:t>
      </w:r>
      <w:r>
        <w:t xml:space="preserve"> </w:t>
      </w:r>
      <w:r>
        <w:t xml:space="preserve">Pharmacist</w:t>
      </w:r>
      <w:r>
        <w:t xml:space="preserve">'s availability and commitment to the</w:t>
      </w:r>
      <w:r>
        <w:t xml:space="preserve"> </w:t>
      </w:r>
      <w:r>
        <w:t xml:space="preserve">United States Miami</w:t>
      </w:r>
      <w:r>
        <w:t xml:space="preserve"> </w:t>
      </w:r>
      <w:r>
        <w:t xml:space="preserve">engagement.</w:t>
      </w:r>
    </w:p>
    <w:p>
      <w:pPr>
        <w:numPr>
          <w:ilvl w:val="0"/>
          <w:numId w:val="1002"/>
        </w:numPr>
        <w:pStyle w:val="Compact"/>
      </w:pPr>
      <w:r>
        <w:t xml:space="preserve">Any services exceeding the scope defined in this</w:t>
      </w:r>
      <w:r>
        <w:t xml:space="preserve"> </w:t>
      </w:r>
      <w:r>
        <w:t xml:space="preserve">Quotation Estimate</w:t>
      </w:r>
      <w:r>
        <w:t xml:space="preserve"> </w:t>
      </w:r>
      <w:r>
        <w:t xml:space="preserve">will be billed at the applicable hourly rate listed in Section 3, subject to prior written approval by the client.</w:t>
      </w:r>
    </w:p>
    <w:p>
      <w:pPr>
        <w:numPr>
          <w:ilvl w:val="0"/>
          <w:numId w:val="1002"/>
        </w:numPr>
        <w:pStyle w:val="Compact"/>
      </w:pPr>
      <w:r>
        <w:t xml:space="preserve">The</w:t>
      </w:r>
      <w:r>
        <w:t xml:space="preserve"> </w:t>
      </w:r>
      <w:r>
        <w:t xml:space="preserve">Pharmacist</w:t>
      </w:r>
      <w:r>
        <w:t xml:space="preserve"> </w:t>
      </w:r>
      <w:r>
        <w:t xml:space="preserve">shall maintain professional liability insurance with a minimum coverage of $2,000,000 per occurrence, compliant with Florida state requirements for pharmacy practice in the</w:t>
      </w:r>
      <w:r>
        <w:t xml:space="preserve"> </w:t>
      </w:r>
      <w:r>
        <w:t xml:space="preserve">United States Miami</w:t>
      </w:r>
      <w:r>
        <w:t xml:space="preserve"> </w:t>
      </w:r>
      <w:r>
        <w:t xml:space="preserve">area.</w:t>
      </w:r>
    </w:p>
    <w:p>
      <w:pPr>
        <w:numPr>
          <w:ilvl w:val="0"/>
          <w:numId w:val="1002"/>
        </w:numPr>
        <w:pStyle w:val="Compact"/>
      </w:pPr>
      <w:r>
        <w:t xml:space="preserve">Confidentiality: All patient information, proprietary formulary data, and operational records accessed during the engagement shall be treated as strictly confidential in accordance with HIPAA regulations and Florida medical privacy statutes.</w:t>
      </w:r>
    </w:p>
    <w:p>
      <w:pPr>
        <w:numPr>
          <w:ilvl w:val="0"/>
          <w:numId w:val="1002"/>
        </w:numPr>
        <w:pStyle w:val="Compact"/>
      </w:pPr>
      <w:r>
        <w:t xml:space="preserve">Termination: Either party may terminate the engagement with thirty (30) days written notice. In the event of early termination, all services rendered up to the termination date shall be invoiced in full.</w:t>
      </w:r>
    </w:p>
    <w:p>
      <w:pPr>
        <w:numPr>
          <w:ilvl w:val="0"/>
          <w:numId w:val="1002"/>
        </w:numPr>
        <w:pStyle w:val="Compact"/>
      </w:pPr>
      <w:r>
        <w:t xml:space="preserve">This</w:t>
      </w:r>
      <w:r>
        <w:t xml:space="preserve"> </w:t>
      </w:r>
      <w:r>
        <w:t xml:space="preserve">Quotation Estimate</w:t>
      </w:r>
      <w:r>
        <w:t xml:space="preserve"> </w:t>
      </w:r>
      <w:r>
        <w:t xml:space="preserve">does not constitute a guarantee of specific clinical outcomes. The</w:t>
      </w:r>
      <w:r>
        <w:t xml:space="preserve"> </w:t>
      </w:r>
      <w:r>
        <w:t xml:space="preserve">Pharmacist</w:t>
      </w:r>
      <w:r>
        <w:t xml:space="preserve"> </w:t>
      </w:r>
      <w:r>
        <w:t xml:space="preserve">shall exercise professional judgment consistent with the standard of care expected of a licensed pharmacist practicing in the State of Florida, United States.</w:t>
      </w:r>
    </w:p>
    <w:p>
      <w:pPr>
        <w:numPr>
          <w:ilvl w:val="0"/>
          <w:numId w:val="1002"/>
        </w:numPr>
        <w:pStyle w:val="Compact"/>
      </w:pPr>
      <w:r>
        <w:t xml:space="preserve">All disputes arising from this engagement shall be resolved through mediation in Miami-Dade County, Florida, in accordance with the laws of the State of Florida and the United States.</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financial obligations outlined herein for the engagement of the</w:t>
      </w:r>
      <w:r>
        <w:t xml:space="preserve"> </w:t>
      </w:r>
      <w:r>
        <w:t xml:space="preserve">Pharmacist</w:t>
      </w:r>
      <w:r>
        <w:t xml:space="preserve"> </w:t>
      </w:r>
      <w:r>
        <w:t xml:space="preserve">in</w:t>
      </w:r>
      <w:r>
        <w:t xml:space="preserve"> </w:t>
      </w:r>
      <w:r>
        <w:t xml:space="preserve">United States Miami</w:t>
      </w:r>
      <w:r>
        <w:t xml:space="preserve">. This document, once countersigned by both parties, shall serve as the foundational financial reference for the service agreement.</w:t>
      </w:r>
    </w:p>
    <w:p>
      <w:pPr>
        <w:pStyle w:val="BodyText"/>
      </w:pPr>
      <w:r>
        <w:rPr>
          <w:bCs/>
          <w:b/>
        </w:rPr>
        <w:t xml:space="preserve">Client Representative</w:t>
      </w:r>
      <w:r>
        <w:br/>
      </w:r>
      <w:r>
        <w:t xml:space="preserve">Name: ___________________________</w:t>
      </w:r>
      <w:r>
        <w:br/>
      </w:r>
      <w:r>
        <w:t xml:space="preserve">Title: ___________________________</w:t>
      </w:r>
      <w:r>
        <w:br/>
      </w:r>
      <w:r>
        <w:t xml:space="preserve">Date: ___________________________</w:t>
      </w:r>
    </w:p>
    <w:p>
      <w:pPr>
        <w:pStyle w:val="BodyText"/>
      </w:pPr>
      <w:r>
        <w:rPr>
          <w:bCs/>
          <w:b/>
        </w:rPr>
        <w:t xml:space="preserve">Pharmacist / Service Provider</w:t>
      </w:r>
      <w:r>
        <w:br/>
      </w:r>
      <w:r>
        <w:t xml:space="preserve">Name: Dr. Elena Vasquez, PharmD</w:t>
      </w:r>
      <w:r>
        <w:br/>
      </w:r>
      <w:r>
        <w:t xml:space="preserve">License No.: FL-2025-XXXXX</w:t>
      </w:r>
      <w:r>
        <w:br/>
      </w:r>
      <w:r>
        <w:t xml:space="preserve">Date: ___________________________</w:t>
      </w:r>
    </w:p>
    <w:p>
      <w:pPr>
        <w:pStyle w:val="BodyText"/>
      </w:pPr>
      <w:r>
        <w:t xml:space="preserve">Quotation Estimate QE-PHARM-2025-0047 | Pharmacist Services | United States Miami, Florida</w:t>
      </w:r>
    </w:p>
    <w:p>
      <w:pPr>
        <w:pStyle w:val="BodyText"/>
      </w:pPr>
      <w:r>
        <w:t xml:space="preserve">This document is generated for professional use and is subject to the terms stated herein. © 2025.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Pharmacist Services - United States Miami</dc:title>
  <dc:creator/>
  <dc:language>en</dc:language>
  <cp:keywords/>
  <dcterms:created xsi:type="dcterms:W3CDTF">2026-10-10T07:24:39Z</dcterms:created>
  <dcterms:modified xsi:type="dcterms:W3CDTF">2026-10-10T07:24:39Z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