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X2f53c9d943e5d01714b5dea6fbfecb0f4830f53"/>
    <w:p>
      <w:pPr>
        <w:pStyle w:val="Heading1"/>
      </w:pPr>
      <w:r>
        <w:t xml:space="preserve">Golden Gate Healthcare Staffing Solutions, Inc.</w:t>
      </w:r>
    </w:p>
    <w:p>
      <w:pPr>
        <w:pStyle w:val="FirstParagraph"/>
      </w:pPr>
      <w:r>
        <w:t xml:space="preserve">1200 Market Street, Suite 4500, San Francisco, CA 94102, United States</w:t>
      </w:r>
    </w:p>
    <w:p>
      <w:pPr>
        <w:pStyle w:val="BodyText"/>
      </w:pPr>
      <w:r>
        <w:t xml:space="preserve">Phone: (415) 555-0187  |  Email: estimates@gghealthcare-staffing.com  |  CA License #PH-2024-8841</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QTE-2025-SF-0347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 from date of issue)</w:t>
            </w:r>
          </w:p>
        </w:tc>
      </w:tr>
      <w:tr>
        <w:tc>
          <w:tcPr/>
          <w:p>
            <w:pPr>
              <w:pStyle w:val="Compact"/>
              <w:jc w:val="left"/>
            </w:pPr>
            <w:r>
              <w:t xml:space="preserve">Prepared For:</w:t>
            </w:r>
          </w:p>
        </w:tc>
        <w:tc>
          <w:tcPr/>
          <w:p>
            <w:pPr>
              <w:pStyle w:val="Compact"/>
              <w:jc w:val="left"/>
            </w:pPr>
            <w:r>
              <w:t xml:space="preserve">Bay Area Community Health Network, 850 Mission Street, San Francisco, CA 94105</w:t>
            </w:r>
          </w:p>
        </w:tc>
      </w:tr>
      <w:tr>
        <w:tc>
          <w:tcPr/>
          <w:p>
            <w:pPr>
              <w:pStyle w:val="Compact"/>
              <w:jc w:val="left"/>
            </w:pPr>
            <w:r>
              <w:t xml:space="preserve">Prepared By:</w:t>
            </w:r>
          </w:p>
        </w:tc>
        <w:tc>
          <w:tcPr/>
          <w:p>
            <w:pPr>
              <w:pStyle w:val="Compact"/>
              <w:jc w:val="left"/>
            </w:pPr>
            <w:r>
              <w:t xml:space="preserve">Dr. Margaret Chen, RPh – Director of Clinical Staffing</w:t>
            </w:r>
          </w:p>
        </w:tc>
      </w:tr>
      <w:tr>
        <w:tc>
          <w:tcPr/>
          <w:p>
            <w:pPr>
              <w:pStyle w:val="Compact"/>
              <w:jc w:val="left"/>
            </w:pPr>
            <w:r>
              <w:t xml:space="preserve">Service Location:</w:t>
            </w:r>
          </w:p>
        </w:tc>
        <w:tc>
          <w:tcPr/>
          <w:p>
            <w:pPr>
              <w:pStyle w:val="Compact"/>
              <w:jc w:val="left"/>
            </w:pPr>
            <w:r>
              <w:t xml:space="preserve">United States San Francisco – Multiple Clinic Sites (SoMa, North Beach, and Richmond District)</w:t>
            </w:r>
          </w:p>
        </w:tc>
      </w:tr>
      <w:tr>
        <w:tc>
          <w:tcPr/>
          <w:p>
            <w:pPr>
              <w:pStyle w:val="Compact"/>
              <w:jc w:val="left"/>
            </w:pPr>
            <w:r>
              <w:t xml:space="preserve">Engagement Period:</w:t>
            </w:r>
          </w:p>
        </w:tc>
        <w:tc>
          <w:tcPr/>
          <w:p>
            <w:pPr>
              <w:pStyle w:val="Compact"/>
              <w:jc w:val="left"/>
            </w:pPr>
            <w:r>
              <w:t xml:space="preserve">12 months (July 1, 2025 – June 30, 2026)</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Golden Gate Healthcare Staffing Solutions, Inc. to provide a comprehensive, itemized financial projection for the recruitment, placement, and ongoing management of a licensed</w:t>
      </w:r>
      <w:r>
        <w:t xml:space="preserve"> </w:t>
      </w:r>
      <w:r>
        <w:t xml:space="preserve">Pharmacist</w:t>
      </w:r>
      <w:r>
        <w:t xml:space="preserve"> </w:t>
      </w:r>
      <w:r>
        <w:t xml:space="preserve">to serve the clinical and operational needs of Bay Area Community Health Network. All services described herein will be performed within the jurisdiction of</w:t>
      </w:r>
      <w:r>
        <w:t xml:space="preserve"> </w:t>
      </w:r>
      <w:r>
        <w:t xml:space="preserve">United States San Francisco</w:t>
      </w:r>
      <w:r>
        <w:t xml:space="preserve">, in full compliance with the California Board of Pharmacy regulations, the California Business and Professions Code, and all applicable federal pharmaceutical laws administered by the U.S. Food and Drug Administration (FDA).</w:t>
      </w:r>
    </w:p>
    <w:p>
      <w:pPr>
        <w:pStyle w:val="BodyText"/>
      </w:pPr>
      <w:r>
        <w:t xml:space="preserve">The</w:t>
      </w:r>
      <w:r>
        <w:t xml:space="preserve"> </w:t>
      </w:r>
      <w:r>
        <w:t xml:space="preserve">Pharmacist</w:t>
      </w:r>
      <w:r>
        <w:t xml:space="preserve"> </w:t>
      </w:r>
      <w:r>
        <w:t xml:space="preserve">candidate identified for this engagement holds a Doctor of Pharmacy (PharmD) degree, a valid California Pharmacist License (License No. 148-7723), and a current DEA registration. The candidate possesses a minimum of eight (8) years of progressive experience in community pharmacy, clinical pharmacy, and medication therapy management (MTM) within the San Francisco metropolitan area. This</w:t>
      </w:r>
      <w:r>
        <w:t xml:space="preserve"> </w:t>
      </w:r>
      <w:r>
        <w:t xml:space="preserve">Quotation Estimate</w:t>
      </w:r>
      <w:r>
        <w:t xml:space="preserve"> </w:t>
      </w:r>
      <w:r>
        <w:t xml:space="preserve">reflects all costs associated with securing, onboarding, and retaining this qualified</w:t>
      </w:r>
      <w:r>
        <w:t xml:space="preserve"> </w:t>
      </w:r>
      <w:r>
        <w:t xml:space="preserve">Pharmacist</w:t>
      </w:r>
      <w:r>
        <w:t xml:space="preserve"> </w:t>
      </w:r>
      <w:r>
        <w:t xml:space="preserve">for the full twelve-month engagement period in</w:t>
      </w:r>
      <w:r>
        <w:t xml:space="preserve"> </w:t>
      </w:r>
      <w:r>
        <w:t xml:space="preserve">United States San Francisco</w:t>
      </w:r>
      <w:r>
        <w:t xml:space="preserve">.</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 Item</w:t>
            </w:r>
          </w:p>
        </w:tc>
        <w:tc>
          <w:tcPr/>
          <w:p>
            <w:pPr>
              <w:pStyle w:val="Compact"/>
              <w:jc w:val="left"/>
            </w:pPr>
            <w:r>
              <w:t xml:space="preserve">Description</w:t>
            </w:r>
          </w:p>
        </w:tc>
        <w:tc>
          <w:tcPr/>
          <w:p>
            <w:pPr>
              <w:pStyle w:val="Compact"/>
              <w:jc w:val="left"/>
            </w:pPr>
            <w:r>
              <w:t xml:space="preserve">Unit Cost (USD)</w:t>
            </w:r>
          </w:p>
        </w:tc>
        <w:tc>
          <w:tcPr/>
          <w:p>
            <w:pPr>
              <w:pStyle w:val="Compact"/>
              <w:jc w:val="left"/>
            </w:pPr>
            <w:r>
              <w:t xml:space="preserve">Quantity</w:t>
            </w:r>
          </w:p>
        </w:tc>
        <w:tc>
          <w:tcPr/>
          <w:p>
            <w:pPr>
              <w:pStyle w:val="Compact"/>
              <w:jc w:val="left"/>
            </w:pPr>
            <w:r>
              <w:t xml:space="preserve">Total (USD)</w:t>
            </w:r>
          </w:p>
        </w:tc>
      </w:tr>
      <w:tr>
        <w:tc>
          <w:tcPr/>
          <w:p>
            <w:pPr>
              <w:pStyle w:val="Compact"/>
              <w:jc w:val="left"/>
            </w:pPr>
            <w:r>
              <w:t xml:space="preserve">1.0</w:t>
            </w:r>
          </w:p>
        </w:tc>
        <w:tc>
          <w:tcPr/>
          <w:p>
            <w:pPr>
              <w:pStyle w:val="Compact"/>
              <w:jc w:val="left"/>
            </w:pPr>
            <w:r>
              <w:t xml:space="preserve">Pharmacist Recruitment &amp; Sourcing Fee (one-time)</w:t>
            </w:r>
          </w:p>
        </w:tc>
        <w:tc>
          <w:tcPr/>
          <w:p>
            <w:pPr>
              <w:pStyle w:val="Compact"/>
              <w:jc w:val="left"/>
            </w:pPr>
            <w:r>
              <w:t xml:space="preserve">$4,500.00</w:t>
            </w:r>
          </w:p>
        </w:tc>
        <w:tc>
          <w:tcPr/>
          <w:p>
            <w:pPr>
              <w:pStyle w:val="Compact"/>
              <w:jc w:val="left"/>
            </w:pPr>
            <w:r>
              <w:t xml:space="preserve">1</w:t>
            </w:r>
          </w:p>
        </w:tc>
        <w:tc>
          <w:tcPr/>
          <w:p>
            <w:pPr>
              <w:pStyle w:val="Compact"/>
              <w:jc w:val="left"/>
            </w:pPr>
            <w:r>
              <w:t xml:space="preserve">$4,500.00</w:t>
            </w:r>
          </w:p>
        </w:tc>
      </w:tr>
      <w:tr>
        <w:tc>
          <w:tcPr/>
          <w:p>
            <w:pPr>
              <w:pStyle w:val="Compact"/>
              <w:jc w:val="left"/>
            </w:pPr>
            <w:r>
              <w:t xml:space="preserve">2.0</w:t>
            </w:r>
          </w:p>
        </w:tc>
        <w:tc>
          <w:tcPr/>
          <w:p>
            <w:pPr>
              <w:pStyle w:val="Compact"/>
              <w:jc w:val="left"/>
            </w:pPr>
            <w:r>
              <w:t xml:space="preserve">Pharmacist Monthly Base Compensation (PharmD, CA Licensed)</w:t>
            </w:r>
          </w:p>
        </w:tc>
        <w:tc>
          <w:tcPr/>
          <w:p>
            <w:pPr>
              <w:pStyle w:val="Compact"/>
              <w:jc w:val="left"/>
            </w:pPr>
            <w:r>
              <w:t xml:space="preserve">$11,200.00</w:t>
            </w:r>
          </w:p>
        </w:tc>
        <w:tc>
          <w:tcPr/>
          <w:p>
            <w:pPr>
              <w:pStyle w:val="Compact"/>
              <w:jc w:val="left"/>
            </w:pPr>
            <w:r>
              <w:t xml:space="preserve">12</w:t>
            </w:r>
          </w:p>
        </w:tc>
        <w:tc>
          <w:tcPr/>
          <w:p>
            <w:pPr>
              <w:pStyle w:val="Compact"/>
              <w:jc w:val="left"/>
            </w:pPr>
            <w:r>
              <w:t xml:space="preserve">$134,400.00</w:t>
            </w:r>
          </w:p>
        </w:tc>
      </w:tr>
      <w:tr>
        <w:tc>
          <w:tcPr/>
          <w:p>
            <w:pPr>
              <w:pStyle w:val="Compact"/>
              <w:jc w:val="left"/>
            </w:pPr>
            <w:r>
              <w:t xml:space="preserve">3.0</w:t>
            </w:r>
          </w:p>
        </w:tc>
        <w:tc>
          <w:tcPr/>
          <w:p>
            <w:pPr>
              <w:pStyle w:val="Compact"/>
              <w:jc w:val="left"/>
            </w:pPr>
            <w:r>
              <w:t xml:space="preserve">California State &amp; Federal Payroll Tax Administration</w:t>
            </w:r>
          </w:p>
        </w:tc>
        <w:tc>
          <w:tcPr/>
          <w:p>
            <w:pPr>
              <w:pStyle w:val="Compact"/>
              <w:jc w:val="left"/>
            </w:pPr>
            <w:r>
              <w:t xml:space="preserve">$1,850.00</w:t>
            </w:r>
          </w:p>
        </w:tc>
        <w:tc>
          <w:tcPr/>
          <w:p>
            <w:pPr>
              <w:pStyle w:val="Compact"/>
              <w:jc w:val="left"/>
            </w:pPr>
            <w:r>
              <w:t xml:space="preserve">12</w:t>
            </w:r>
          </w:p>
        </w:tc>
        <w:tc>
          <w:tcPr/>
          <w:p>
            <w:pPr>
              <w:pStyle w:val="Compact"/>
              <w:jc w:val="left"/>
            </w:pPr>
            <w:r>
              <w:t xml:space="preserve">$22,200.00</w:t>
            </w:r>
          </w:p>
        </w:tc>
      </w:tr>
      <w:tr>
        <w:tc>
          <w:tcPr/>
          <w:p>
            <w:pPr>
              <w:pStyle w:val="Compact"/>
              <w:jc w:val="left"/>
            </w:pPr>
            <w:r>
              <w:t xml:space="preserve">4.0</w:t>
            </w:r>
          </w:p>
        </w:tc>
        <w:tc>
          <w:tcPr/>
          <w:p>
            <w:pPr>
              <w:pStyle w:val="Compact"/>
              <w:jc w:val="left"/>
            </w:pPr>
            <w:r>
              <w:t xml:space="preserve">Health, Dental &amp; Vision Insurance (Employer Portion)</w:t>
            </w:r>
          </w:p>
        </w:tc>
        <w:tc>
          <w:tcPr/>
          <w:p>
            <w:pPr>
              <w:pStyle w:val="Compact"/>
              <w:jc w:val="left"/>
            </w:pPr>
            <w:r>
              <w:t xml:space="preserve">$1,100.00</w:t>
            </w:r>
          </w:p>
        </w:tc>
        <w:tc>
          <w:tcPr/>
          <w:p>
            <w:pPr>
              <w:pStyle w:val="Compact"/>
              <w:jc w:val="left"/>
            </w:pPr>
            <w:r>
              <w:t xml:space="preserve">12</w:t>
            </w:r>
          </w:p>
        </w:tc>
        <w:tc>
          <w:tcPr/>
          <w:p>
            <w:pPr>
              <w:pStyle w:val="Compact"/>
              <w:jc w:val="left"/>
            </w:pPr>
            <w:r>
              <w:t xml:space="preserve">$13,200.00</w:t>
            </w:r>
          </w:p>
        </w:tc>
      </w:tr>
      <w:tr>
        <w:tc>
          <w:tcPr/>
          <w:p>
            <w:pPr>
              <w:pStyle w:val="Compact"/>
              <w:jc w:val="left"/>
            </w:pPr>
            <w:r>
              <w:t xml:space="preserve">5.0</w:t>
            </w:r>
          </w:p>
        </w:tc>
        <w:tc>
          <w:tcPr/>
          <w:p>
            <w:pPr>
              <w:pStyle w:val="Compact"/>
              <w:jc w:val="left"/>
            </w:pPr>
            <w:r>
              <w:t xml:space="preserve">401(k) Retirement Plan Matching (6% of base)</w:t>
            </w:r>
          </w:p>
        </w:tc>
        <w:tc>
          <w:tcPr/>
          <w:p>
            <w:pPr>
              <w:pStyle w:val="Compact"/>
              <w:jc w:val="left"/>
            </w:pPr>
            <w:r>
              <w:t xml:space="preserve">$672.00</w:t>
            </w:r>
          </w:p>
        </w:tc>
        <w:tc>
          <w:tcPr/>
          <w:p>
            <w:pPr>
              <w:pStyle w:val="Compact"/>
              <w:jc w:val="left"/>
            </w:pPr>
            <w:r>
              <w:t xml:space="preserve">12</w:t>
            </w:r>
          </w:p>
        </w:tc>
        <w:tc>
          <w:tcPr/>
          <w:p>
            <w:pPr>
              <w:pStyle w:val="Compact"/>
              <w:jc w:val="left"/>
            </w:pPr>
            <w:r>
              <w:t xml:space="preserve">$8,064.00</w:t>
            </w:r>
          </w:p>
        </w:tc>
      </w:tr>
      <w:tr>
        <w:tc>
          <w:tcPr/>
          <w:p>
            <w:pPr>
              <w:pStyle w:val="Compact"/>
              <w:jc w:val="left"/>
            </w:pPr>
            <w:r>
              <w:t xml:space="preserve">6.0</w:t>
            </w:r>
          </w:p>
        </w:tc>
        <w:tc>
          <w:tcPr/>
          <w:p>
            <w:pPr>
              <w:pStyle w:val="Compact"/>
              <w:jc w:val="left"/>
            </w:pPr>
            <w:r>
              <w:t xml:space="preserve">California Professional Liability Insurance (Pharmacist)</w:t>
            </w:r>
          </w:p>
        </w:tc>
        <w:tc>
          <w:tcPr/>
          <w:p>
            <w:pPr>
              <w:pStyle w:val="Compact"/>
              <w:jc w:val="left"/>
            </w:pPr>
            <w:r>
              <w:t xml:space="preserve">$950.00</w:t>
            </w:r>
          </w:p>
        </w:tc>
        <w:tc>
          <w:tcPr/>
          <w:p>
            <w:pPr>
              <w:pStyle w:val="Compact"/>
              <w:jc w:val="left"/>
            </w:pPr>
            <w:r>
              <w:t xml:space="preserve">1</w:t>
            </w:r>
          </w:p>
        </w:tc>
        <w:tc>
          <w:tcPr/>
          <w:p>
            <w:pPr>
              <w:pStyle w:val="Compact"/>
              <w:jc w:val="left"/>
            </w:pPr>
            <w:r>
              <w:t xml:space="preserve">$950.00</w:t>
            </w:r>
          </w:p>
        </w:tc>
      </w:tr>
      <w:tr>
        <w:tc>
          <w:tcPr/>
          <w:p>
            <w:pPr>
              <w:pStyle w:val="Compact"/>
              <w:jc w:val="left"/>
            </w:pPr>
            <w:r>
              <w:t xml:space="preserve">7.0</w:t>
            </w:r>
          </w:p>
        </w:tc>
        <w:tc>
          <w:tcPr/>
          <w:p>
            <w:pPr>
              <w:pStyle w:val="Compact"/>
              <w:jc w:val="left"/>
            </w:pPr>
            <w:r>
              <w:t xml:space="preserve">Continuing Education (CE) Allowance – CA Board of Pharmacy Requirement</w:t>
            </w:r>
          </w:p>
        </w:tc>
        <w:tc>
          <w:tcPr/>
          <w:p>
            <w:pPr>
              <w:pStyle w:val="Compact"/>
              <w:jc w:val="left"/>
            </w:pPr>
            <w:r>
              <w:t xml:space="preserve">$1,200.00</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8.0</w:t>
            </w:r>
          </w:p>
        </w:tc>
        <w:tc>
          <w:tcPr/>
          <w:p>
            <w:pPr>
              <w:pStyle w:val="Compact"/>
              <w:jc w:val="left"/>
            </w:pPr>
            <w:r>
              <w:t xml:space="preserve">DEA Registration Renewal &amp; California CURES System Access</w:t>
            </w:r>
          </w:p>
        </w:tc>
        <w:tc>
          <w:tcPr/>
          <w:p>
            <w:pPr>
              <w:pStyle w:val="Compact"/>
              <w:jc w:val="left"/>
            </w:pPr>
            <w:r>
              <w:t xml:space="preserve">$480.00</w:t>
            </w:r>
          </w:p>
        </w:tc>
        <w:tc>
          <w:tcPr/>
          <w:p>
            <w:pPr>
              <w:pStyle w:val="Compact"/>
              <w:jc w:val="left"/>
            </w:pPr>
            <w:r>
              <w:t xml:space="preserve">1</w:t>
            </w:r>
          </w:p>
        </w:tc>
        <w:tc>
          <w:tcPr/>
          <w:p>
            <w:pPr>
              <w:pStyle w:val="Compact"/>
              <w:jc w:val="left"/>
            </w:pPr>
            <w:r>
              <w:t xml:space="preserve">$480.00</w:t>
            </w:r>
          </w:p>
        </w:tc>
      </w:tr>
      <w:tr>
        <w:tc>
          <w:tcPr/>
          <w:p>
            <w:pPr>
              <w:pStyle w:val="Compact"/>
              <w:jc w:val="left"/>
            </w:pPr>
            <w:r>
              <w:t xml:space="preserve">9.0</w:t>
            </w:r>
          </w:p>
        </w:tc>
        <w:tc>
          <w:tcPr/>
          <w:p>
            <w:pPr>
              <w:pStyle w:val="Compact"/>
              <w:jc w:val="left"/>
            </w:pPr>
            <w:r>
              <w:t xml:space="preserve">Onboarding, Background Check &amp; Credential Verification</w:t>
            </w:r>
          </w:p>
        </w:tc>
        <w:tc>
          <w:tcPr/>
          <w:p>
            <w:pPr>
              <w:pStyle w:val="Compact"/>
              <w:jc w:val="left"/>
            </w:pPr>
            <w:r>
              <w:t xml:space="preserve">$1,800.00</w:t>
            </w:r>
          </w:p>
        </w:tc>
        <w:tc>
          <w:tcPr/>
          <w:p>
            <w:pPr>
              <w:pStyle w:val="Compact"/>
              <w:jc w:val="left"/>
            </w:pPr>
            <w:r>
              <w:t xml:space="preserve">1</w:t>
            </w:r>
          </w:p>
        </w:tc>
        <w:tc>
          <w:tcPr/>
          <w:p>
            <w:pPr>
              <w:pStyle w:val="Compact"/>
              <w:jc w:val="left"/>
            </w:pPr>
            <w:r>
              <w:t xml:space="preserve">$1,800.00</w:t>
            </w:r>
          </w:p>
        </w:tc>
      </w:tr>
      <w:tr>
        <w:tc>
          <w:tcPr/>
          <w:p>
            <w:pPr>
              <w:pStyle w:val="Compact"/>
              <w:jc w:val="left"/>
            </w:pPr>
            <w:r>
              <w:t xml:space="preserve">10.0</w:t>
            </w:r>
          </w:p>
        </w:tc>
        <w:tc>
          <w:tcPr/>
          <w:p>
            <w:pPr>
              <w:pStyle w:val="Compact"/>
              <w:jc w:val="left"/>
            </w:pPr>
            <w:r>
              <w:t xml:space="preserve">Staffing Agency Management &amp; Oversight Fee (8% of labor)</w:t>
            </w:r>
          </w:p>
        </w:tc>
        <w:tc>
          <w:tcPr/>
          <w:p>
            <w:pPr>
              <w:pStyle w:val="Compact"/>
              <w:jc w:val="left"/>
            </w:pPr>
            <w:r>
              <w:t xml:space="preserve">$10,752.00</w:t>
            </w:r>
          </w:p>
        </w:tc>
        <w:tc>
          <w:tcPr/>
          <w:p>
            <w:pPr>
              <w:pStyle w:val="Compact"/>
              <w:jc w:val="left"/>
            </w:pPr>
            <w:r>
              <w:t xml:space="preserve">1</w:t>
            </w:r>
          </w:p>
        </w:tc>
        <w:tc>
          <w:tcPr/>
          <w:p>
            <w:pPr>
              <w:pStyle w:val="Compact"/>
              <w:jc w:val="left"/>
            </w:pPr>
            <w:r>
              <w:t xml:space="preserve">$10,752.00</w:t>
            </w:r>
          </w:p>
        </w:tc>
      </w:tr>
      <w:tr>
        <w:tc>
          <w:tcPr/>
          <w:p>
            <w:pPr>
              <w:pStyle w:val="Compact"/>
              <w:jc w:val="left"/>
            </w:pPr>
            <w:r>
              <w:t xml:space="preserve">11.0</w:t>
            </w:r>
          </w:p>
        </w:tc>
        <w:tc>
          <w:tcPr/>
          <w:p>
            <w:pPr>
              <w:pStyle w:val="Compact"/>
              <w:jc w:val="left"/>
            </w:pPr>
            <w:r>
              <w:t xml:space="preserve">San Francisco Local Transportation &amp; Parking Stipend</w:t>
            </w:r>
          </w:p>
        </w:tc>
        <w:tc>
          <w:tcPr/>
          <w:p>
            <w:pPr>
              <w:pStyle w:val="Compact"/>
              <w:jc w:val="left"/>
            </w:pPr>
            <w:r>
              <w:t xml:space="preserve">$350.00</w:t>
            </w:r>
          </w:p>
        </w:tc>
        <w:tc>
          <w:tcPr/>
          <w:p>
            <w:pPr>
              <w:pStyle w:val="Compact"/>
              <w:jc w:val="left"/>
            </w:pPr>
            <w:r>
              <w:t xml:space="preserve">12</w:t>
            </w:r>
          </w:p>
        </w:tc>
        <w:tc>
          <w:tcPr/>
          <w:p>
            <w:pPr>
              <w:pStyle w:val="Compact"/>
              <w:jc w:val="left"/>
            </w:pPr>
            <w:r>
              <w:t xml:space="preserve">$4,200.00</w:t>
            </w:r>
          </w:p>
        </w:tc>
      </w:tr>
      <w:tr>
        <w:tc>
          <w:tcPr/>
          <w:p>
            <w:pPr>
              <w:pStyle w:val="Compact"/>
              <w:jc w:val="left"/>
            </w:pPr>
            <w:r>
              <w:t xml:space="preserve">12.0</w:t>
            </w:r>
          </w:p>
        </w:tc>
        <w:tc>
          <w:tcPr/>
          <w:p>
            <w:pPr>
              <w:pStyle w:val="Compact"/>
              <w:jc w:val="left"/>
            </w:pPr>
            <w:r>
              <w:t xml:space="preserve">Technology &amp; Software Licensing (Pharmacy Management System)</w:t>
            </w:r>
          </w:p>
        </w:tc>
        <w:tc>
          <w:tcPr/>
          <w:p>
            <w:pPr>
              <w:pStyle w:val="Compact"/>
              <w:jc w:val="left"/>
            </w:pPr>
            <w:r>
              <w:t xml:space="preserve">$620.00</w:t>
            </w:r>
          </w:p>
        </w:tc>
        <w:tc>
          <w:tcPr/>
          <w:p>
            <w:pPr>
              <w:pStyle w:val="Compact"/>
              <w:jc w:val="left"/>
            </w:pPr>
            <w:r>
              <w:t xml:space="preserve">12</w:t>
            </w:r>
          </w:p>
        </w:tc>
        <w:tc>
          <w:tcPr/>
          <w:p>
            <w:pPr>
              <w:pStyle w:val="Compact"/>
              <w:jc w:val="left"/>
            </w:pPr>
            <w:r>
              <w:t xml:space="preserve">$7,440.00</w:t>
            </w:r>
          </w:p>
        </w:tc>
      </w:tr>
      <w:tr>
        <w:tc>
          <w:tcPr>
            <w:gridSpan w:val="4"/>
          </w:tcPr>
          <w:p>
            <w:pPr>
              <w:pStyle w:val="Compact"/>
              <w:jc w:val="left"/>
            </w:pPr>
            <w:r>
              <w:t xml:space="preserve">TOTAL ESTIMATED COST (USD)</w:t>
            </w:r>
          </w:p>
        </w:tc>
        <w:tc>
          <w:tcPr/>
          <w:p>
            <w:pPr>
              <w:pStyle w:val="Compact"/>
              <w:jc w:val="left"/>
            </w:pPr>
            <w:r>
              <w:t xml:space="preserve">$210,186.00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acceptance beyond the validity period will require a revised</w:t>
      </w:r>
      <w:r>
        <w:t xml:space="preserve"> </w:t>
      </w:r>
      <w:r>
        <w:t xml:space="preserve">Quotation Estimate</w:t>
      </w:r>
      <w:r>
        <w:t xml:space="preserve"> </w:t>
      </w:r>
      <w:r>
        <w:t xml:space="preserve">reflecting current market rates for</w:t>
      </w:r>
      <w:r>
        <w:t xml:space="preserve"> </w:t>
      </w:r>
      <w:r>
        <w:t xml:space="preserve">Pharmacist</w:t>
      </w:r>
      <w:r>
        <w:t xml:space="preserve"> </w:t>
      </w:r>
      <w:r>
        <w:t xml:space="preserve">positions in</w:t>
      </w:r>
      <w:r>
        <w:t xml:space="preserve"> </w:t>
      </w:r>
      <w:r>
        <w:t xml:space="preserve">United States San Francisco</w:t>
      </w:r>
      <w:r>
        <w:t xml:space="preserve">.</w:t>
      </w:r>
    </w:p>
    <w:p>
      <w:pPr>
        <w:numPr>
          <w:ilvl w:val="0"/>
          <w:numId w:val="1001"/>
        </w:numPr>
        <w:pStyle w:val="Compact"/>
      </w:pPr>
      <w:r>
        <w:t xml:space="preserve">All monetary figures presented in this document are denominated in United States Dollars (USD) and are subject to applicable California state sales tax and federal withholding as mandated by the Internal Revenue Service (IRS).</w:t>
      </w:r>
    </w:p>
    <w:p>
      <w:pPr>
        <w:numPr>
          <w:ilvl w:val="0"/>
          <w:numId w:val="1001"/>
        </w:numPr>
        <w:pStyle w:val="Compact"/>
      </w:pPr>
      <w:r>
        <w:t xml:space="preserve">The</w:t>
      </w:r>
      <w:r>
        <w:t xml:space="preserve"> </w:t>
      </w:r>
      <w:r>
        <w:t xml:space="preserve">Pharmacist</w:t>
      </w:r>
      <w:r>
        <w:t xml:space="preserve"> </w:t>
      </w:r>
      <w:r>
        <w:t xml:space="preserve">engaged under this agreement shall maintain an active California Pharmacist License, a valid DEA registration, and all required continuing education credits as stipulated by the California Board of Pharmacy throughout the entire engagement period in</w:t>
      </w:r>
      <w:r>
        <w:t xml:space="preserve"> </w:t>
      </w:r>
      <w:r>
        <w:t xml:space="preserve">United States San Francisco</w:t>
      </w:r>
      <w:r>
        <w:t xml:space="preserve">.</w:t>
      </w:r>
    </w:p>
    <w:p>
      <w:pPr>
        <w:numPr>
          <w:ilvl w:val="0"/>
          <w:numId w:val="1001"/>
        </w:numPr>
        <w:pStyle w:val="Compact"/>
      </w:pPr>
      <w:r>
        <w:t xml:space="preserve">Payment terms: Net 30 days from the date of invoice. A 1.5% monthly late fee shall apply to any outstanding balance exceeding the payment window.</w:t>
      </w:r>
    </w:p>
    <w:p>
      <w:pPr>
        <w:numPr>
          <w:ilvl w:val="0"/>
          <w:numId w:val="1001"/>
        </w:numPr>
        <w:pStyle w:val="Compact"/>
      </w:pPr>
      <w:r>
        <w:t xml:space="preserve">This</w:t>
      </w:r>
      <w:r>
        <w:t xml:space="preserve"> </w:t>
      </w:r>
      <w:r>
        <w:t xml:space="preserve">Quotation Estimate</w:t>
      </w:r>
      <w:r>
        <w:t xml:space="preserve"> </w:t>
      </w:r>
      <w:r>
        <w:t xml:space="preserve">does not constitute a binding employment contract. A separate Master Service Agreement (MSA) and Statement of Work (SOW) must be executed by both parties prior to the commencement of services.</w:t>
      </w:r>
    </w:p>
    <w:p>
      <w:pPr>
        <w:numPr>
          <w:ilvl w:val="0"/>
          <w:numId w:val="1001"/>
        </w:numPr>
        <w:pStyle w:val="Compact"/>
      </w:pPr>
      <w:r>
        <w:t xml:space="preserve">Golden Gate Healthcare Staffing Solutions, Inc. reserves the right to substitute the identified</w:t>
      </w:r>
      <w:r>
        <w:t xml:space="preserve"> </w:t>
      </w:r>
      <w:r>
        <w:t xml:space="preserve">Pharmacist</w:t>
      </w:r>
      <w:r>
        <w:t xml:space="preserve"> </w:t>
      </w:r>
      <w:r>
        <w:t xml:space="preserve">candidate with an equivalently qualified professional, subject to prior written approval by the client, should the original candidate become unavailable due to circumstances beyond either party's control.</w:t>
      </w:r>
    </w:p>
    <w:p>
      <w:pPr>
        <w:numPr>
          <w:ilvl w:val="0"/>
          <w:numId w:val="1001"/>
        </w:numPr>
        <w:pStyle w:val="Compact"/>
      </w:pPr>
      <w:r>
        <w:t xml:space="preserve">All services will be rendered in compliance with the Health Insurance Portability and Accountability Act (HIPAA), the California Confidentiality of Medical Information Act (CMIA), and all local ordinances governing pharmaceutical practice in the City and County of San Francisco.</w:t>
      </w:r>
    </w:p>
    <w:p>
      <w:pPr>
        <w:numPr>
          <w:ilvl w:val="0"/>
          <w:numId w:val="1001"/>
        </w:numPr>
        <w:pStyle w:val="Compact"/>
      </w:pPr>
      <w:r>
        <w:t xml:space="preserve">This</w:t>
      </w:r>
      <w:r>
        <w:t xml:space="preserve"> </w:t>
      </w:r>
      <w:r>
        <w:t xml:space="preserve">Quotation Estimate</w:t>
      </w:r>
      <w:r>
        <w:t xml:space="preserve"> </w:t>
      </w:r>
      <w:r>
        <w:t xml:space="preserve">is non-transferable and is prepared exclusively for the named client entity. It may not be reproduced, distributed, or used for any purpose other than the evaluation of the proposed</w:t>
      </w:r>
      <w:r>
        <w:t xml:space="preserve"> </w:t>
      </w:r>
      <w:r>
        <w:t xml:space="preserve">Pharmacist</w:t>
      </w:r>
      <w:r>
        <w:t xml:space="preserve"> </w:t>
      </w:r>
      <w:r>
        <w:t xml:space="preserve">engagement in</w:t>
      </w:r>
      <w:r>
        <w:t xml:space="preserve"> </w:t>
      </w:r>
      <w:r>
        <w:t xml:space="preserve">United States San Francisco</w:t>
      </w:r>
      <w:r>
        <w:t xml:space="preserve">.</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projections outlined herein for the engagement of a licensed</w:t>
      </w:r>
      <w:r>
        <w:t xml:space="preserve"> </w:t>
      </w:r>
      <w:r>
        <w:t xml:space="preserve">Pharmacist</w:t>
      </w:r>
      <w:r>
        <w:t xml:space="preserve"> </w:t>
      </w:r>
      <w:r>
        <w:t xml:space="preserve">in</w:t>
      </w:r>
      <w:r>
        <w:t xml:space="preserve"> </w:t>
      </w:r>
      <w:r>
        <w:t xml:space="preserve">United States San Francisco</w:t>
      </w:r>
      <w:r>
        <w:t xml:space="preserve">.</w:t>
      </w:r>
    </w:p>
    <w:p>
      <w:pPr>
        <w:pStyle w:val="BodyText"/>
      </w:pPr>
      <w:r>
        <w:rPr>
          <w:bCs/>
          <w:b/>
        </w:rPr>
        <w:t xml:space="preserve">Authorized Representative – Client</w:t>
      </w:r>
      <w:r>
        <w:br/>
      </w:r>
      <w:r>
        <w:t xml:space="preserve">Name: ______________________________</w:t>
      </w:r>
      <w:r>
        <w:br/>
      </w:r>
      <w:r>
        <w:t xml:space="preserve">Title: ______________________________</w:t>
      </w:r>
      <w:r>
        <w:br/>
      </w:r>
      <w:r>
        <w:t xml:space="preserve">Date: ______________________________</w:t>
      </w:r>
    </w:p>
    <w:p>
      <w:pPr>
        <w:pStyle w:val="BodyText"/>
      </w:pPr>
      <w:r>
        <w:rPr>
          <w:bCs/>
          <w:b/>
        </w:rPr>
        <w:t xml:space="preserve">Authorized Representative – Golden Gate Healthcare Staffing Solutions, Inc.</w:t>
      </w:r>
      <w:r>
        <w:br/>
      </w:r>
      <w:r>
        <w:t xml:space="preserve">Name: Dr. Margaret Chen, RPh</w:t>
      </w:r>
      <w:r>
        <w:br/>
      </w:r>
      <w:r>
        <w:t xml:space="preserve">Title: Director of Clinical Staffing</w:t>
      </w:r>
      <w:r>
        <w:br/>
      </w:r>
      <w:r>
        <w:t xml:space="preserve">Date: ______________________________</w:t>
      </w:r>
    </w:p>
    <w:p>
      <w:pPr>
        <w:pStyle w:val="BodyText"/>
      </w:pPr>
      <w:r>
        <w:t xml:space="preserve">Golden Gate Healthcare Staffing Solutions, Inc.  |  1200 Market Street, Suite 4500, San Francisco, CA 94102  |  United States</w:t>
      </w:r>
    </w:p>
    <w:p>
      <w:pPr>
        <w:pStyle w:val="BodyText"/>
      </w:pPr>
      <w:r>
        <w:t xml:space="preserve">This Quotation Estimate (QTE-2025-SF-0347) was generated on June 12, 2025. For inquiries regarding this Pharmacist placement estimate in United States San Francisco, please contact our office at (415) 555-0187.</w:t>
      </w:r>
    </w:p>
    <w:p>
      <w:pPr>
        <w:pStyle w:val="BodyText"/>
      </w:pPr>
      <w:r>
        <w:t xml:space="preserve">© 2025 Golden Gate Healthcare Staffing Solutions, Inc.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United States San Francisco</dc:title>
  <dc:creator/>
  <dc:language>en</dc:language>
  <cp:keywords/>
  <dcterms:created xsi:type="dcterms:W3CDTF">2026-10-10T03:15:42Z</dcterms:created>
  <dcterms:modified xsi:type="dcterms:W3CDTF">2026-10-10T03:15:42Z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