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sciencia-consulting-group-s.a."/>
    <w:p>
      <w:pPr>
        <w:pStyle w:val="Heading1"/>
      </w:pPr>
      <w:r>
        <w:t xml:space="preserve">SCIENCIA CONSULTING GROUP S.A.</w:t>
      </w:r>
    </w:p>
    <w:p>
      <w:pPr>
        <w:pStyle w:val="FirstParagraph"/>
      </w:pPr>
      <w:r>
        <w:t xml:space="preserve">Av. Corrientes 2340, Piso 12, C1043AAB, Buenos Aires, Argentina</w:t>
      </w:r>
    </w:p>
    <w:p>
      <w:pPr>
        <w:pStyle w:val="BodyText"/>
      </w:pPr>
      <w:r>
        <w:t xml:space="preserve">Tel: +54 11 4321-5678 | Email: quotations@scienciaconsulting.com.ar</w:t>
      </w:r>
    </w:p>
    <w:p>
      <w:pPr>
        <w:pStyle w:val="BodyText"/>
      </w:pPr>
      <w:r>
        <w:t xml:space="preserve">CUIT: 30-71234567-8 | Registered in the Commercial Registry of Buenos Aires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QE-2025-BA-0487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Argentine Peso (ARS) / USD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Universidad Tecnológica del Plata</w:t>
      </w:r>
    </w:p>
    <w:p>
      <w:pPr>
        <w:pStyle w:val="BodyText"/>
      </w:pPr>
      <w:r>
        <w:rPr>
          <w:bCs/>
          <w:b/>
        </w:rPr>
        <w:t xml:space="preserve">Address:</w:t>
      </w:r>
      <w:r>
        <w:t xml:space="preserve"> </w:t>
      </w:r>
      <w:r>
        <w:t xml:space="preserve">Ruta 11 Km 37, La Plata, Buenos Aires, Argentina</w:t>
      </w:r>
    </w:p>
    <w:p>
      <w:pPr>
        <w:pStyle w:val="BodyText"/>
      </w:pPr>
      <w:r>
        <w:rPr>
          <w:bCs/>
          <w:b/>
        </w:rPr>
        <w:t xml:space="preserve">Contact:</w:t>
      </w:r>
      <w:r>
        <w:t xml:space="preserve"> </w:t>
      </w:r>
      <w:r>
        <w:t xml:space="preserve">Dr. Martín Herrera, Director of Research</w:t>
      </w:r>
    </w:p>
    <w:p>
      <w:pPr>
        <w:pStyle w:val="BodyText"/>
      </w:pPr>
      <w:r>
        <w:rPr>
          <w:bCs/>
          <w:b/>
        </w:rPr>
        <w:t xml:space="preserve">Email:</w:t>
      </w:r>
      <w:r>
        <w:t xml:space="preserve"> </w:t>
      </w:r>
      <w:r>
        <w:t xml:space="preserve">m.herrera@utp.edu.ar</w:t>
      </w:r>
    </w:p>
    <w:bookmarkEnd w:id="22"/>
    <w:bookmarkStart w:id="23" w:name="scope-of-services-physicist-engagement"/>
    <w:p>
      <w:pPr>
        <w:pStyle w:val="Heading2"/>
      </w:pPr>
      <w:r>
        <w:t xml:space="preserve">1. Scope of Services – Physicist Engagement</w:t>
      </w:r>
    </w:p>
    <w:p>
      <w:pPr>
        <w:pStyle w:val="FirstParagraph"/>
      </w:pPr>
      <w:r>
        <w:t xml:space="preserve">This</w:t>
      </w:r>
      <w:r>
        <w:t xml:space="preserve"> </w:t>
      </w:r>
      <w:r>
        <w:t xml:space="preserve">Quotation Estimate</w:t>
      </w:r>
      <w:r>
        <w:t xml:space="preserve"> </w:t>
      </w:r>
      <w:r>
        <w:t xml:space="preserve">is issued by Sciencia Consulting Group S.A. to formally propose the professional engagement of a</w:t>
      </w:r>
      <w:r>
        <w:t xml:space="preserve"> </w:t>
      </w:r>
      <w:r>
        <w:t xml:space="preserve">Physicist</w:t>
      </w:r>
      <w:r>
        <w:t xml:space="preserve"> </w:t>
      </w:r>
      <w:r>
        <w:t xml:space="preserve">for the execution of advanced research and technical consulting services within the jurisdiction of</w:t>
      </w:r>
      <w:r>
        <w:t xml:space="preserve"> </w:t>
      </w:r>
      <w:r>
        <w:t xml:space="preserve">Argentina Buenos Aires</w:t>
      </w:r>
      <w:r>
        <w:t xml:space="preserve">. The</w:t>
      </w:r>
      <w:r>
        <w:t xml:space="preserve"> </w:t>
      </w:r>
      <w:r>
        <w:t xml:space="preserve">Physicist</w:t>
      </w:r>
      <w:r>
        <w:t xml:space="preserve"> </w:t>
      </w:r>
      <w:r>
        <w:t xml:space="preserve">to be assigned holds a Doctorate in Theoretical and Applied Physics from the Universidad de Buenos Aires (UBA) and possesses over fifteen years of experience in quantum mechanics, particle physics, and computational modeling. The engagement is specifically tailored to support the client's ongoing research program in condensed matter physics and nanotechnology applications, to be conducted at the client's laboratory facilities located in the La Plata district of</w:t>
      </w:r>
      <w:r>
        <w:t xml:space="preserve"> </w:t>
      </w:r>
      <w:r>
        <w:t xml:space="preserve">Argentina Buenos Aires</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(ARS)</w:t>
            </w:r>
          </w:p>
        </w:tc>
        <w:tc>
          <w:tcPr/>
          <w:p>
            <w:pPr>
              <w:pStyle w:val="Compact"/>
              <w:jc w:val="left"/>
            </w:pPr>
            <w:r>
              <w:t xml:space="preserve">Subtotal (ARS)</w:t>
            </w:r>
          </w:p>
        </w:tc>
        <w:tc>
          <w:tcPr/>
          <w:p>
            <w:pPr>
              <w:pStyle w:val="Compact"/>
              <w:jc w:val="left"/>
            </w:pPr>
            <w:r>
              <w:t xml:space="preserve">Rate (USD)</w:t>
            </w:r>
          </w:p>
        </w:tc>
      </w:tr>
      <w:tr>
        <w:tc>
          <w:tcPr/>
          <w:p>
            <w:pPr>
              <w:pStyle w:val="Compact"/>
              <w:jc w:val="left"/>
            </w:pPr>
            <w:r>
              <w:t xml:space="preserve">1</w:t>
            </w:r>
          </w:p>
        </w:tc>
        <w:tc>
          <w:tcPr/>
          <w:p>
            <w:pPr>
              <w:pStyle w:val="Compact"/>
              <w:jc w:val="left"/>
            </w:pPr>
            <w:r>
              <w:t xml:space="preserve">Senior</w:t>
            </w:r>
            <w:r>
              <w:t xml:space="preserve"> </w:t>
            </w:r>
            <w:r>
              <w:t xml:space="preserve">Physicist</w:t>
            </w:r>
            <w:r>
              <w:t xml:space="preserve"> </w:t>
            </w:r>
            <w:r>
              <w:t xml:space="preserve">– Full-time research consultation and laboratory supervision in</w:t>
            </w:r>
            <w:r>
              <w:t xml:space="preserve"> </w:t>
            </w:r>
            <w:r>
              <w:t xml:space="preserve">Argentina Buenos Aires</w:t>
            </w:r>
          </w:p>
        </w:tc>
        <w:tc>
          <w:tcPr/>
          <w:p>
            <w:pPr>
              <w:pStyle w:val="Compact"/>
              <w:jc w:val="left"/>
            </w:pPr>
            <w:r>
              <w:t xml:space="preserve">6 months</w:t>
            </w:r>
          </w:p>
        </w:tc>
        <w:tc>
          <w:tcPr/>
          <w:p>
            <w:pPr>
              <w:pStyle w:val="Compact"/>
              <w:jc w:val="left"/>
            </w:pPr>
            <w:r>
              <w:t xml:space="preserve">285,000 / month</w:t>
            </w:r>
          </w:p>
        </w:tc>
        <w:tc>
          <w:tcPr/>
          <w:p>
            <w:pPr>
              <w:pStyle w:val="Compact"/>
              <w:jc w:val="left"/>
            </w:pPr>
            <w:r>
              <w:t xml:space="preserve">1,710,000</w:t>
            </w:r>
          </w:p>
        </w:tc>
        <w:tc>
          <w:tcPr/>
          <w:p>
            <w:pPr>
              <w:pStyle w:val="Compact"/>
              <w:jc w:val="left"/>
            </w:pPr>
            <w:r>
              <w:t xml:space="preserve">$1,425 / month</w:t>
            </w:r>
          </w:p>
        </w:tc>
      </w:tr>
      <w:tr>
        <w:tc>
          <w:tcPr/>
          <w:p>
            <w:pPr>
              <w:pStyle w:val="Compact"/>
              <w:jc w:val="left"/>
            </w:pPr>
            <w:r>
              <w:t xml:space="preserve">2</w:t>
            </w:r>
          </w:p>
        </w:tc>
        <w:tc>
          <w:tcPr/>
          <w:p>
            <w:pPr>
              <w:pStyle w:val="Compact"/>
              <w:jc w:val="left"/>
            </w:pPr>
            <w:r>
              <w:t xml:space="preserve">Advanced computational modeling and simulation support (quantum field theory applications)</w:t>
            </w:r>
          </w:p>
        </w:tc>
        <w:tc>
          <w:tcPr/>
          <w:p>
            <w:pPr>
              <w:pStyle w:val="Compact"/>
              <w:jc w:val="left"/>
            </w:pPr>
            <w:r>
              <w:t xml:space="preserve">6 months</w:t>
            </w:r>
          </w:p>
        </w:tc>
        <w:tc>
          <w:tcPr/>
          <w:p>
            <w:pPr>
              <w:pStyle w:val="Compact"/>
              <w:jc w:val="left"/>
            </w:pPr>
            <w:r>
              <w:t xml:space="preserve">95,000 / month</w:t>
            </w:r>
          </w:p>
        </w:tc>
        <w:tc>
          <w:tcPr/>
          <w:p>
            <w:pPr>
              <w:pStyle w:val="Compact"/>
              <w:jc w:val="left"/>
            </w:pPr>
            <w:r>
              <w:t xml:space="preserve">570,000</w:t>
            </w:r>
          </w:p>
        </w:tc>
        <w:tc>
          <w:tcPr/>
          <w:p>
            <w:pPr>
              <w:pStyle w:val="Compact"/>
              <w:jc w:val="left"/>
            </w:pPr>
            <w:r>
              <w:t xml:space="preserve">$780 / month</w:t>
            </w:r>
          </w:p>
        </w:tc>
      </w:tr>
      <w:tr>
        <w:tc>
          <w:tcPr/>
          <w:p>
            <w:pPr>
              <w:pStyle w:val="Compact"/>
              <w:jc w:val="left"/>
            </w:pPr>
            <w:r>
              <w:t xml:space="preserve">3</w:t>
            </w:r>
          </w:p>
        </w:tc>
        <w:tc>
          <w:tcPr/>
          <w:p>
            <w:pPr>
              <w:pStyle w:val="Compact"/>
              <w:jc w:val="left"/>
            </w:pPr>
            <w:r>
              <w:t xml:space="preserve">Peer review and technical validation of experimental data and published manuscripts</w:t>
            </w:r>
          </w:p>
        </w:tc>
        <w:tc>
          <w:tcPr/>
          <w:p>
            <w:pPr>
              <w:pStyle w:val="Compact"/>
              <w:jc w:val="left"/>
            </w:pPr>
            <w:r>
              <w:t xml:space="preserve">Per deliverable</w:t>
            </w:r>
          </w:p>
        </w:tc>
        <w:tc>
          <w:tcPr/>
          <w:p>
            <w:pPr>
              <w:pStyle w:val="Compact"/>
              <w:jc w:val="left"/>
            </w:pPr>
            <w:r>
              <w:t xml:space="preserve">45,000 / document</w:t>
            </w:r>
          </w:p>
        </w:tc>
        <w:tc>
          <w:tcPr/>
          <w:p>
            <w:pPr>
              <w:pStyle w:val="Compact"/>
              <w:jc w:val="left"/>
            </w:pPr>
            <w:r>
              <w:t xml:space="preserve">270,000 (est. 6 docs)</w:t>
            </w:r>
          </w:p>
        </w:tc>
        <w:tc>
          <w:tcPr/>
          <w:p>
            <w:pPr>
              <w:pStyle w:val="Compact"/>
              <w:jc w:val="left"/>
            </w:pPr>
            <w:r>
              <w:t xml:space="preserve">$375 / document</w:t>
            </w:r>
          </w:p>
        </w:tc>
      </w:tr>
      <w:tr>
        <w:tc>
          <w:tcPr/>
          <w:p>
            <w:pPr>
              <w:pStyle w:val="Compact"/>
              <w:jc w:val="left"/>
            </w:pPr>
            <w:r>
              <w:t xml:space="preserve">4</w:t>
            </w:r>
          </w:p>
        </w:tc>
        <w:tc>
          <w:tcPr/>
          <w:p>
            <w:pPr>
              <w:pStyle w:val="Compact"/>
              <w:jc w:val="left"/>
            </w:pPr>
            <w:r>
              <w:t xml:space="preserve">On-site laboratory visits and equipment calibration oversight in</w:t>
            </w:r>
            <w:r>
              <w:t xml:space="preserve"> </w:t>
            </w:r>
            <w:r>
              <w:t xml:space="preserve">Argentina Buenos Aires</w:t>
            </w:r>
          </w:p>
        </w:tc>
        <w:tc>
          <w:tcPr/>
          <w:p>
            <w:pPr>
              <w:pStyle w:val="Compact"/>
              <w:jc w:val="left"/>
            </w:pPr>
            <w:r>
              <w:t xml:space="preserve">12 visits</w:t>
            </w:r>
          </w:p>
        </w:tc>
        <w:tc>
          <w:tcPr/>
          <w:p>
            <w:pPr>
              <w:pStyle w:val="Compact"/>
              <w:jc w:val="left"/>
            </w:pPr>
            <w:r>
              <w:t xml:space="preserve">38,000 / visit</w:t>
            </w:r>
          </w:p>
        </w:tc>
        <w:tc>
          <w:tcPr/>
          <w:p>
            <w:pPr>
              <w:pStyle w:val="Compact"/>
              <w:jc w:val="left"/>
            </w:pPr>
            <w:r>
              <w:t xml:space="preserve">456,000</w:t>
            </w:r>
          </w:p>
        </w:tc>
        <w:tc>
          <w:tcPr/>
          <w:p>
            <w:pPr>
              <w:pStyle w:val="Compact"/>
              <w:jc w:val="left"/>
            </w:pPr>
            <w:r>
              <w:t xml:space="preserve">$315 / visit</w:t>
            </w:r>
          </w:p>
        </w:tc>
      </w:tr>
      <w:tr>
        <w:tc>
          <w:tcPr/>
          <w:p>
            <w:pPr>
              <w:pStyle w:val="Compact"/>
              <w:jc w:val="left"/>
            </w:pPr>
            <w:r>
              <w:t xml:space="preserve">5</w:t>
            </w:r>
          </w:p>
        </w:tc>
        <w:tc>
          <w:tcPr/>
          <w:p>
            <w:pPr>
              <w:pStyle w:val="Compact"/>
              <w:jc w:val="left"/>
            </w:pPr>
            <w:r>
              <w:t xml:space="preserve">Training sessions for junior research staff (quantum mechanics and experimental methodology)</w:t>
            </w:r>
          </w:p>
        </w:tc>
        <w:tc>
          <w:tcPr/>
          <w:p>
            <w:pPr>
              <w:pStyle w:val="Compact"/>
              <w:jc w:val="left"/>
            </w:pPr>
            <w:r>
              <w:t xml:space="preserve">8 sessions</w:t>
            </w:r>
          </w:p>
        </w:tc>
        <w:tc>
          <w:tcPr/>
          <w:p>
            <w:pPr>
              <w:pStyle w:val="Compact"/>
              <w:jc w:val="left"/>
            </w:pPr>
            <w:r>
              <w:t xml:space="preserve">22,000 / session</w:t>
            </w:r>
          </w:p>
        </w:tc>
        <w:tc>
          <w:tcPr/>
          <w:p>
            <w:pPr>
              <w:pStyle w:val="Compact"/>
              <w:jc w:val="left"/>
            </w:pPr>
            <w:r>
              <w:t xml:space="preserve">176,000</w:t>
            </w:r>
          </w:p>
        </w:tc>
        <w:tc>
          <w:tcPr/>
          <w:p>
            <w:pPr>
              <w:pStyle w:val="Compact"/>
              <w:jc w:val="left"/>
            </w:pPr>
            <w:r>
              <w:t xml:space="preserve">$185 / session</w:t>
            </w:r>
          </w:p>
        </w:tc>
      </w:tr>
      <w:tr>
        <w:tc>
          <w:tcPr/>
          <w:p>
            <w:pPr>
              <w:pStyle w:val="Compact"/>
              <w:jc w:val="left"/>
            </w:pPr>
            <w:r>
              <w:t xml:space="preserve">6</w:t>
            </w:r>
          </w:p>
        </w:tc>
        <w:tc>
          <w:tcPr/>
          <w:p>
            <w:pPr>
              <w:pStyle w:val="Compact"/>
              <w:jc w:val="left"/>
            </w:pPr>
            <w:r>
              <w:t xml:space="preserve">Travel and accommodation within the</w:t>
            </w:r>
            <w:r>
              <w:t xml:space="preserve"> </w:t>
            </w:r>
            <w:r>
              <w:t xml:space="preserve">Argentina Buenos Aires</w:t>
            </w:r>
            <w:r>
              <w:t xml:space="preserve"> </w:t>
            </w:r>
            <w:r>
              <w:t xml:space="preserve">metropolitan area</w:t>
            </w:r>
          </w:p>
        </w:tc>
        <w:tc>
          <w:tcPr/>
          <w:p>
            <w:pPr>
              <w:pStyle w:val="Compact"/>
              <w:jc w:val="left"/>
            </w:pPr>
            <w:r>
              <w:t xml:space="preserve">6 months</w:t>
            </w:r>
          </w:p>
        </w:tc>
        <w:tc>
          <w:tcPr/>
          <w:p>
            <w:pPr>
              <w:pStyle w:val="Compact"/>
              <w:jc w:val="left"/>
            </w:pPr>
            <w:r>
              <w:t xml:space="preserve">15,000 / month</w:t>
            </w:r>
          </w:p>
        </w:tc>
        <w:tc>
          <w:tcPr/>
          <w:p>
            <w:pPr>
              <w:pStyle w:val="Compact"/>
              <w:jc w:val="left"/>
            </w:pPr>
            <w:r>
              <w:t xml:space="preserve">90,000</w:t>
            </w:r>
          </w:p>
        </w:tc>
        <w:tc>
          <w:tcPr/>
          <w:p>
            <w:pPr>
              <w:pStyle w:val="Compact"/>
              <w:jc w:val="left"/>
            </w:pPr>
            <w:r>
              <w:t xml:space="preserve">$125 / month</w:t>
            </w:r>
          </w:p>
        </w:tc>
      </w:tr>
      <w:tr>
        <w:tc>
          <w:tcPr/>
          <w:p>
            <w:pPr>
              <w:pStyle w:val="Compact"/>
              <w:jc w:val="left"/>
            </w:pPr>
            <w:r>
              <w:t xml:space="preserve">7</w:t>
            </w:r>
          </w:p>
        </w:tc>
        <w:tc>
          <w:tcPr/>
          <w:p>
            <w:pPr>
              <w:pStyle w:val="Compact"/>
              <w:jc w:val="left"/>
            </w:pPr>
            <w:r>
              <w:t xml:space="preserve">Administrative and project management coordination</w:t>
            </w:r>
          </w:p>
        </w:tc>
        <w:tc>
          <w:tcPr/>
          <w:p>
            <w:pPr>
              <w:pStyle w:val="Compact"/>
              <w:jc w:val="left"/>
            </w:pPr>
            <w:r>
              <w:t xml:space="preserve">6 months</w:t>
            </w:r>
          </w:p>
        </w:tc>
        <w:tc>
          <w:tcPr/>
          <w:p>
            <w:pPr>
              <w:pStyle w:val="Compact"/>
              <w:jc w:val="left"/>
            </w:pPr>
            <w:r>
              <w:t xml:space="preserve">30,000 / month</w:t>
            </w:r>
          </w:p>
        </w:tc>
        <w:tc>
          <w:tcPr/>
          <w:p>
            <w:pPr>
              <w:pStyle w:val="Compact"/>
              <w:jc w:val="left"/>
            </w:pPr>
            <w:r>
              <w:t xml:space="preserve">180,000</w:t>
            </w:r>
          </w:p>
        </w:tc>
        <w:tc>
          <w:tcPr/>
          <w:p>
            <w:pPr>
              <w:pStyle w:val="Compact"/>
              <w:jc w:val="left"/>
            </w:pPr>
            <w:r>
              <w:t xml:space="preserve">$250 / month</w:t>
            </w:r>
          </w:p>
        </w:tc>
      </w:tr>
      <w:tr>
        <w:tc>
          <w:tcPr>
            <w:gridSpan w:val="4"/>
          </w:tcPr>
          <w:p>
            <w:pPr>
              <w:pStyle w:val="Compact"/>
              <w:jc w:val="left"/>
            </w:pPr>
            <w:r>
              <w:t xml:space="preserve">TOTAL ESTIMATED COST (before IVA 21%)</w:t>
            </w:r>
          </w:p>
        </w:tc>
        <w:tc>
          <w:tcPr/>
          <w:p>
            <w:pPr>
              <w:pStyle w:val="Compact"/>
              <w:jc w:val="left"/>
            </w:pPr>
            <w:r>
              <w:t xml:space="preserve">3,452,000</w:t>
            </w:r>
          </w:p>
        </w:tc>
        <w:tc>
          <w:tcPr/>
          <w:p>
            <w:pPr>
              <w:pStyle w:val="Compact"/>
              <w:jc w:val="left"/>
            </w:pPr>
            <w:r>
              <w:t xml:space="preserve">$2,455</w:t>
            </w:r>
          </w:p>
        </w:tc>
      </w:tr>
      <w:tr>
        <w:tc>
          <w:tcPr>
            <w:gridSpan w:val="4"/>
          </w:tcPr>
          <w:p>
            <w:pPr>
              <w:pStyle w:val="Compact"/>
              <w:jc w:val="left"/>
            </w:pPr>
            <w:r>
              <w:t xml:space="preserve">IVA (21% – Argentine Value Added Tax)</w:t>
            </w:r>
          </w:p>
        </w:tc>
        <w:tc>
          <w:tcPr/>
          <w:p>
            <w:pPr>
              <w:pStyle w:val="Compact"/>
              <w:jc w:val="left"/>
            </w:pPr>
            <w:r>
              <w:t xml:space="preserve">724,920</w:t>
            </w:r>
          </w:p>
        </w:tc>
        <w:tc>
          <w:tcPr/>
          <w:p>
            <w:pPr>
              <w:pStyle w:val="Compact"/>
              <w:jc w:val="left"/>
            </w:pPr>
            <w:r>
              <w:t xml:space="preserve">$515.55</w:t>
            </w:r>
          </w:p>
        </w:tc>
      </w:tr>
      <w:tr>
        <w:tc>
          <w:tcPr>
            <w:gridSpan w:val="4"/>
          </w:tcPr>
          <w:p>
            <w:pPr>
              <w:pStyle w:val="Compact"/>
              <w:jc w:val="left"/>
            </w:pPr>
            <w:r>
              <w:t xml:space="preserve">GRAND TOTAL</w:t>
            </w:r>
          </w:p>
        </w:tc>
        <w:tc>
          <w:tcPr/>
          <w:p>
            <w:pPr>
              <w:pStyle w:val="Compact"/>
              <w:jc w:val="left"/>
            </w:pPr>
            <w:r>
              <w:t xml:space="preserve">4,176,920</w:t>
            </w:r>
          </w:p>
        </w:tc>
        <w:tc>
          <w:tcPr/>
          <w:p>
            <w:pPr>
              <w:pStyle w:val="Compact"/>
              <w:jc w:val="left"/>
            </w:pPr>
            <w:r>
              <w:t xml:space="preserve">$2,970.55</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issuance. After this period, all rates and conditions are subject to revision due to fluctuations in the Argentine peso exchange rate and market conditions in</w:t>
      </w:r>
      <w:r>
        <w:t xml:space="preserve"> </w:t>
      </w:r>
      <w:r>
        <w:t xml:space="preserve">Argentina Buenos Aires</w:t>
      </w:r>
      <w:r>
        <w:t xml:space="preserve">.</w:t>
      </w:r>
    </w:p>
    <w:p>
      <w:pPr>
        <w:pStyle w:val="BodyText"/>
      </w:pPr>
      <w:r>
        <w:rPr>
          <w:bCs/>
          <w:b/>
        </w:rPr>
        <w:t xml:space="preserve">3.2 Payment Terms:</w:t>
      </w:r>
      <w:r>
        <w:t xml:space="preserve"> </w:t>
      </w:r>
      <w:r>
        <w:t xml:space="preserve">Payment shall be made in monthly installments within fifteen (15) business days of invoice issuance. The client may opt for payment in Argentine Pesos (ARS) or United States Dollars (USD) at the official exchange rate published by the Banco Central de la República Argentina (BCRA) on the date of invoicing.</w:t>
      </w:r>
    </w:p>
    <w:p>
      <w:pPr>
        <w:pStyle w:val="BodyText"/>
      </w:pPr>
      <w:r>
        <w:rPr>
          <w:bCs/>
          <w:b/>
        </w:rPr>
        <w:t xml:space="preserve">3.3 Scope Limitations:</w:t>
      </w:r>
      <w:r>
        <w:t xml:space="preserve"> </w:t>
      </w:r>
      <w:r>
        <w:t xml:space="preserve">The</w:t>
      </w:r>
      <w:r>
        <w:t xml:space="preserve"> </w:t>
      </w:r>
      <w:r>
        <w:t xml:space="preserve">Physicist</w:t>
      </w:r>
      <w:r>
        <w:t xml:space="preserve"> </w:t>
      </w:r>
      <w:r>
        <w:t xml:space="preserve">engagement is limited to the services explicitly described in Section 2. Any additional research tasks, extended laboratory hours, or emergency consultations beyond the agreed scope will require a supplementary</w:t>
      </w:r>
      <w:r>
        <w:t xml:space="preserve"> </w:t>
      </w:r>
      <w:r>
        <w:t xml:space="preserve">Quotation Estimate</w:t>
      </w:r>
      <w:r>
        <w:t xml:space="preserve"> </w:t>
      </w:r>
      <w:r>
        <w:t xml:space="preserve">and written approval from both parties.</w:t>
      </w:r>
    </w:p>
    <w:p>
      <w:pPr>
        <w:pStyle w:val="BodyText"/>
      </w:pPr>
      <w:r>
        <w:rPr>
          <w:bCs/>
          <w:b/>
        </w:rPr>
        <w:t xml:space="preserve">3.4 Intellectual Property:</w:t>
      </w:r>
      <w:r>
        <w:t xml:space="preserve"> </w:t>
      </w:r>
      <w:r>
        <w:t xml:space="preserve">All research findings, data, models, and publications generated during the engagement shall be jointly owned by the client and Sciencia Consulting Group S.A., unless otherwise agreed in a separate intellectual property addendum. The</w:t>
      </w:r>
      <w:r>
        <w:t xml:space="preserve"> </w:t>
      </w:r>
      <w:r>
        <w:t xml:space="preserve">Physicist</w:t>
      </w:r>
      <w:r>
        <w:t xml:space="preserve"> </w:t>
      </w:r>
      <w:r>
        <w:t xml:space="preserve">shall not disclose proprietary information to third parties without written consent.</w:t>
      </w:r>
    </w:p>
    <w:p>
      <w:pPr>
        <w:pStyle w:val="BodyText"/>
      </w:pPr>
      <w:r>
        <w:rPr>
          <w:bCs/>
          <w:b/>
        </w:rPr>
        <w:t xml:space="preserve">3.5 Compliance:</w:t>
      </w:r>
      <w:r>
        <w:t xml:space="preserve"> </w:t>
      </w:r>
      <w:r>
        <w:t xml:space="preserve">All services shall be performed in full compliance with Argentine national regulations, including but not limited to the Ley de Contrato de Trabajo (Labor Contract Law), the Argentine Tax Code (Código Fiscal), and the regulations of the Comisión Nacional de Energía Atómica (CNEA) where applicable to the research conducted in</w:t>
      </w:r>
      <w:r>
        <w:t xml:space="preserve"> </w:t>
      </w:r>
      <w:r>
        <w:t xml:space="preserve">Argentina Buenos Aires</w:t>
      </w:r>
      <w:r>
        <w:t xml:space="preserve">.</w:t>
      </w:r>
    </w:p>
    <w:p>
      <w:pPr>
        <w:pStyle w:val="BodyText"/>
      </w:pPr>
      <w:r>
        <w:rPr>
          <w:bCs/>
          <w:b/>
        </w:rPr>
        <w:t xml:space="preserve">3.6 Cancellation:</w:t>
      </w:r>
      <w:r>
        <w:t xml:space="preserve"> </w:t>
      </w:r>
      <w:r>
        <w:t xml:space="preserve">Either party may terminate the engagement with a minimum of thirty (30) days written notice. In the event of early termination by the client, a cancellation fee equivalent to 15% of the remaining contract value shall apply.</w:t>
      </w:r>
    </w:p>
    <w:p>
      <w:pPr>
        <w:pStyle w:val="BodyText"/>
      </w:pPr>
      <w:r>
        <w:rPr>
          <w:bCs/>
          <w:b/>
        </w:rPr>
        <w:t xml:space="preserve">3.7 Force Majeure:</w:t>
      </w:r>
      <w:r>
        <w:t xml:space="preserve"> </w:t>
      </w:r>
      <w:r>
        <w:t xml:space="preserve">Neither party shall be held liable for delays or non-performance resulting from events beyond reasonable control, including but not limited to natural disasters, government-mandated closures, or economic emergencies declared in</w:t>
      </w:r>
      <w:r>
        <w:t xml:space="preserve"> </w:t>
      </w:r>
      <w:r>
        <w:t xml:space="preserve">Argentina Buenos Aires</w:t>
      </w:r>
      <w:r>
        <w:t xml:space="preserv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represents the agreed-upon terms for the engagement of the</w:t>
      </w:r>
      <w:r>
        <w:t xml:space="preserve"> </w:t>
      </w:r>
      <w:r>
        <w:t xml:space="preserve">Physicist</w:t>
      </w:r>
      <w:r>
        <w:t xml:space="preserve"> </w:t>
      </w:r>
      <w:r>
        <w:t xml:space="preserve">and that all services will be rendered within the</w:t>
      </w:r>
      <w:r>
        <w:t xml:space="preserve"> </w:t>
      </w:r>
      <w:r>
        <w:t xml:space="preserve">Argentina Buenos Aires</w:t>
      </w:r>
      <w:r>
        <w:t xml:space="preserve"> </w:t>
      </w:r>
      <w:r>
        <w:t xml:space="preserve">metropolitan area as specified herein.</w:t>
      </w:r>
    </w:p>
    <w:p>
      <w:pPr>
        <w:pStyle w:val="BodyText"/>
      </w:pPr>
      <w:r>
        <w:rPr>
          <w:bCs/>
          <w:b/>
        </w:rPr>
        <w:t xml:space="preserve">For Sciencia Consulting Group S.A.</w:t>
      </w:r>
      <w:r>
        <w:br/>
      </w:r>
      <w:r>
        <w:t xml:space="preserve">Name: Ing. Laura Fernández</w:t>
      </w:r>
      <w:r>
        <w:br/>
      </w:r>
      <w:r>
        <w:t xml:space="preserve">Position: Director of Operations</w:t>
      </w:r>
      <w:r>
        <w:br/>
      </w:r>
      <w:r>
        <w:t xml:space="preserve">Date: _______________</w:t>
      </w:r>
    </w:p>
    <w:p>
      <w:pPr>
        <w:pStyle w:val="BodyText"/>
      </w:pPr>
      <w:r>
        <w:rPr>
          <w:bCs/>
          <w:b/>
        </w:rPr>
        <w:t xml:space="preserve">For Universidad Tecnológica del Plata</w:t>
      </w:r>
      <w:r>
        <w:br/>
      </w:r>
      <w:r>
        <w:t xml:space="preserve">Name: Dr. Martín Herrera</w:t>
      </w:r>
      <w:r>
        <w:br/>
      </w:r>
      <w:r>
        <w:t xml:space="preserve">Position: Director of Research</w:t>
      </w:r>
      <w:r>
        <w:br/>
      </w:r>
      <w:r>
        <w:t xml:space="preserve">Date: _______________</w:t>
      </w:r>
    </w:p>
    <w:p>
      <w:pPr>
        <w:pStyle w:val="BodyText"/>
      </w:pPr>
      <w:r>
        <w:t xml:space="preserve">This</w:t>
      </w:r>
      <w:r>
        <w:t xml:space="preserve"> </w:t>
      </w:r>
      <w:r>
        <w:t xml:space="preserve">Quotation Estimate</w:t>
      </w:r>
      <w:r>
        <w:t xml:space="preserve"> </w:t>
      </w:r>
      <w:r>
        <w:t xml:space="preserve">(QE-2025-BA-0487) is a formal commercial document issued by Sciencia Consulting Group S.A. for the provision of</w:t>
      </w:r>
      <w:r>
        <w:t xml:space="preserve"> </w:t>
      </w:r>
      <w:r>
        <w:t xml:space="preserve">Physicist</w:t>
      </w:r>
      <w:r>
        <w:t xml:space="preserve"> </w:t>
      </w:r>
      <w:r>
        <w:t xml:space="preserve">professional services in</w:t>
      </w:r>
      <w:r>
        <w:t xml:space="preserve"> </w:t>
      </w:r>
      <w:r>
        <w:t xml:space="preserve">Argentina Buenos Aires</w:t>
      </w:r>
      <w:r>
        <w:t xml:space="preserve">. This document does not constitute a binding contract until countersigned by both parties. All disputes arising from this engagement shall be resolved under the jurisdiction of the commercial courts of the City of Buenos Aires, Argentina.</w:t>
      </w:r>
    </w:p>
    <w:p>
      <w:pPr>
        <w:pStyle w:val="BodyText"/>
      </w:pPr>
      <w:r>
        <w:t xml:space="preserve">Page 1 of 1 | Generated: 15 June 2025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Argentina Buenos Aires</dc:title>
  <dc:creator/>
  <dc:language>en</dc:language>
  <cp:keywords/>
  <dcterms:created xsi:type="dcterms:W3CDTF">2026-10-10T03:07:30Z</dcterms:created>
  <dcterms:modified xsi:type="dcterms:W3CDTF">2026-10-10T03:07:30Z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