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Physicist Consultation &amp; Research Services</w:t>
      </w:r>
    </w:p>
    <w:p>
      <w:pPr>
        <w:pStyle w:val="BodyText"/>
      </w:pPr>
      <w:r>
        <w:t xml:space="preserve">Ethiopia Addis Ababa | Bole Sub-City, Woreda 03, P.O. Box 12345</w:t>
      </w:r>
    </w:p>
    <w:p>
      <w:pPr>
        <w:pStyle w:val="BodyText"/>
      </w:pPr>
      <w:r>
        <w:t xml:space="preserve">Tel: +251-11-555-0198 | Email: quotations@ethiophysicist-services.et</w:t>
      </w:r>
    </w:p>
    <w:bookmarkEnd w:id="20"/>
    <w:p>
      <w:pPr>
        <w:pStyle w:val="BodyText"/>
      </w:pPr>
      <w:r>
        <w:rPr>
          <w:bCs/>
          <w:b/>
        </w:rPr>
        <w:t xml:space="preserve">Quotation No.:</w:t>
      </w:r>
      <w:r>
        <w:t xml:space="preserve"> </w:t>
      </w:r>
      <w:r>
        <w:t xml:space="preserve">QTE-2025-ABJ-0047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Ethiopia Addis Ababa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Ethiopian Institute of Technology (EIT) – Addis Ababa University</w:t>
            </w:r>
          </w:p>
        </w:tc>
      </w:tr>
      <w:tr>
        <w:tc>
          <w:tcPr/>
          <w:p>
            <w:pPr>
              <w:pStyle w:val="Compact"/>
              <w:jc w:val="left"/>
            </w:pPr>
            <w:r>
              <w:rPr>
                <w:bCs/>
                <w:b/>
              </w:rPr>
              <w:t xml:space="preserve">Department:</w:t>
            </w:r>
          </w:p>
        </w:tc>
        <w:tc>
          <w:tcPr/>
          <w:p>
            <w:pPr>
              <w:pStyle w:val="Compact"/>
              <w:jc w:val="left"/>
            </w:pPr>
            <w:r>
              <w:t xml:space="preserve">Department of Physics, Faculty of Science</w:t>
            </w:r>
          </w:p>
        </w:tc>
      </w:tr>
      <w:tr>
        <w:tc>
          <w:tcPr/>
          <w:p>
            <w:pPr>
              <w:pStyle w:val="Compact"/>
              <w:jc w:val="left"/>
            </w:pPr>
            <w:r>
              <w:rPr>
                <w:bCs/>
                <w:b/>
              </w:rPr>
              <w:t xml:space="preserve">Contact Person:</w:t>
            </w:r>
          </w:p>
        </w:tc>
        <w:tc>
          <w:tcPr/>
          <w:p>
            <w:pPr>
              <w:pStyle w:val="Compact"/>
              <w:jc w:val="left"/>
            </w:pPr>
            <w:r>
              <w:t xml:space="preserve">Dr. Selamawit Tadesse, Head of Department</w:t>
            </w:r>
          </w:p>
        </w:tc>
      </w:tr>
      <w:tr>
        <w:tc>
          <w:tcPr/>
          <w:p>
            <w:pPr>
              <w:pStyle w:val="Compact"/>
              <w:jc w:val="left"/>
            </w:pPr>
            <w:r>
              <w:rPr>
                <w:bCs/>
                <w:b/>
              </w:rPr>
              <w:t xml:space="preserve">Address:</w:t>
            </w:r>
          </w:p>
        </w:tc>
        <w:tc>
          <w:tcPr/>
          <w:p>
            <w:pPr>
              <w:pStyle w:val="Compact"/>
              <w:jc w:val="left"/>
            </w:pPr>
            <w:r>
              <w:t xml:space="preserve">P.O. Box 1176, Addis Ababa, Ethiopia</w:t>
            </w:r>
          </w:p>
        </w:tc>
      </w:tr>
      <w:tr>
        <w:tc>
          <w:tcPr/>
          <w:p>
            <w:pPr>
              <w:pStyle w:val="Compact"/>
              <w:jc w:val="left"/>
            </w:pPr>
            <w:r>
              <w:rPr>
                <w:bCs/>
                <w:b/>
              </w:rPr>
              <w:t xml:space="preserve">Reference:</w:t>
            </w:r>
          </w:p>
        </w:tc>
        <w:tc>
          <w:tcPr/>
          <w:p>
            <w:pPr>
              <w:pStyle w:val="Compact"/>
              <w:jc w:val="left"/>
            </w:pPr>
            <w:r>
              <w:t xml:space="preserve">RFQ-EIT-2025-0892</w:t>
            </w:r>
          </w:p>
        </w:tc>
      </w:tr>
    </w:tbl>
    <w:bookmarkEnd w:id="21"/>
    <w:bookmarkStart w:id="22" w:name="scope-of-services-physicist-engagement"/>
    <w:p>
      <w:pPr>
        <w:pStyle w:val="Heading2"/>
      </w:pPr>
      <w:r>
        <w:t xml:space="preserve">2. Scope of Services – Physicist Engagement</w:t>
      </w:r>
    </w:p>
    <w:p>
      <w:pPr>
        <w:pStyle w:val="FirstParagraph"/>
      </w:pPr>
      <w:r>
        <w:t xml:space="preserve">This</w:t>
      </w:r>
      <w:r>
        <w:t xml:space="preserve"> </w:t>
      </w:r>
      <w:r>
        <w:t xml:space="preserve">Quotation Estimate</w:t>
      </w:r>
      <w:r>
        <w:t xml:space="preserve"> </w:t>
      </w:r>
      <w:r>
        <w:t xml:space="preserve">is prepared in response to the Request for Quotation issued by the Ethiopian Institute of Technology for the engagement of a qualified</w:t>
      </w:r>
      <w:r>
        <w:t xml:space="preserve"> </w:t>
      </w:r>
      <w:r>
        <w:t xml:space="preserve">Physicist</w:t>
      </w:r>
      <w:r>
        <w:t xml:space="preserve"> </w:t>
      </w:r>
      <w:r>
        <w:t xml:space="preserve">to deliver specialized research, teaching, and technical advisory services within the</w:t>
      </w:r>
      <w:r>
        <w:t xml:space="preserve"> </w:t>
      </w:r>
      <w:r>
        <w:t xml:space="preserve">Ethiopia Addis Ababa</w:t>
      </w:r>
      <w:r>
        <w:t xml:space="preserve"> </w:t>
      </w:r>
      <w:r>
        <w:t xml:space="preserve">academic and industrial corridor. The services outlined below encompass a comprehensive package designed to support the client's ongoing programs in applied physics, nuclear energy research, and advanced materials science.</w:t>
      </w:r>
    </w:p>
    <w:p>
      <w:pPr>
        <w:pStyle w:val="BodyText"/>
      </w:pPr>
      <w:r>
        <w:t xml:space="preserve">The</w:t>
      </w:r>
      <w:r>
        <w:t xml:space="preserve"> </w:t>
      </w:r>
      <w:r>
        <w:t xml:space="preserve">Physicist</w:t>
      </w:r>
      <w:r>
        <w:t xml:space="preserve"> </w:t>
      </w:r>
      <w:r>
        <w:t xml:space="preserve">engaged under this quotation shall hold a minimum of a Doctorate (Ph.D.) in Physics or a closely related field, with a proven track record of at least ten (10) years of professional experience in research and academic instruction. The candidate must demonstrate familiarity with the Ethiopian higher education framework and the specific regulatory environment governing scientific research in</w:t>
      </w:r>
      <w:r>
        <w:t xml:space="preserve"> </w:t>
      </w:r>
      <w:r>
        <w:t xml:space="preserve">Ethiopia Addis Ababa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Senior Physicist – Full-time Research &amp; Teaching (Ph.D. level, 40 hrs/week)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Specialized Laboratory Supervision (Nuclear &amp; Particle Physics Lab)</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Curriculum Development &amp; Course Design (Advanced Quantum Mechanics, Thermodynamics)</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Research Grant Proposal Writing &amp; International Collaboration Facilitation</w:t>
            </w:r>
          </w:p>
        </w:tc>
        <w:tc>
          <w:tcPr/>
          <w:p>
            <w:pPr>
              <w:pStyle w:val="Compact"/>
              <w:jc w:val="left"/>
            </w:pPr>
            <w:r>
              <w:t xml:space="preserve">6 months</w:t>
            </w:r>
          </w:p>
        </w:tc>
        <w:tc>
          <w:tcPr/>
          <w:p>
            <w:pPr>
              <w:pStyle w:val="Compact"/>
              <w:jc w:val="left"/>
            </w:pPr>
            <w:r>
              <w:t xml:space="preserve">65,000 / month</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Technical Advisory to Ethiopian Atomic Energy Commission (EAEC) – Addis Ababa</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&amp; Accommodation Allowance (within Ethiopia Addis Ababa metro area)</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Equipment Calibration &amp; Safety Compliance Audit (Physics Laboratory)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Publication Support &amp; Peer Review Coordination (minimum 4 papers/year)</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gridSpan w:val="4"/>
          </w:tcPr>
          <w:p>
            <w:pPr>
              <w:pStyle w:val="Compact"/>
              <w:jc w:val="left"/>
            </w:pPr>
            <w:r>
              <w:rPr>
                <w:bCs/>
                <w:b/>
              </w:rPr>
              <w:t xml:space="preserve">Subtotal (ETB)</w:t>
            </w:r>
          </w:p>
        </w:tc>
        <w:tc>
          <w:tcPr/>
          <w:p>
            <w:pPr>
              <w:pStyle w:val="Compact"/>
              <w:jc w:val="left"/>
            </w:pPr>
            <w:r>
              <w:rPr>
                <w:bCs/>
                <w:b/>
              </w:rPr>
              <w:t xml:space="preserve">4,540,000</w:t>
            </w:r>
          </w:p>
        </w:tc>
      </w:tr>
      <w:tr>
        <w:tc>
          <w:tcPr>
            <w:gridSpan w:val="4"/>
          </w:tcPr>
          <w:p>
            <w:pPr>
              <w:pStyle w:val="Compact"/>
              <w:jc w:val="left"/>
            </w:pPr>
            <w:r>
              <w:rPr>
                <w:bCs/>
                <w:b/>
              </w:rPr>
              <w:t xml:space="preserve">VAT (15% – Ethiopian Tax Authority)</w:t>
            </w:r>
          </w:p>
        </w:tc>
        <w:tc>
          <w:tcPr/>
          <w:p>
            <w:pPr>
              <w:pStyle w:val="Compact"/>
              <w:jc w:val="left"/>
            </w:pPr>
            <w:r>
              <w:rPr>
                <w:bCs/>
                <w:b/>
              </w:rPr>
              <w:t xml:space="preserve">681,000</w:t>
            </w:r>
          </w:p>
        </w:tc>
      </w:tr>
      <w:tr>
        <w:tc>
          <w:tcPr>
            <w:gridSpan w:val="4"/>
          </w:tcPr>
          <w:p>
            <w:pPr>
              <w:pStyle w:val="Compact"/>
              <w:jc w:val="left"/>
            </w:pPr>
            <w:r>
              <w:rPr>
                <w:bCs/>
                <w:b/>
              </w:rPr>
              <w:t xml:space="preserve">TOTAL ESTIMATED COST (ETB)</w:t>
            </w:r>
          </w:p>
        </w:tc>
        <w:tc>
          <w:tcPr/>
          <w:p>
            <w:pPr>
              <w:pStyle w:val="Compact"/>
              <w:jc w:val="left"/>
            </w:pPr>
            <w:r>
              <w:rPr>
                <w:bCs/>
                <w:b/>
              </w:rPr>
              <w:t xml:space="preserve">5,221,000</w:t>
            </w:r>
          </w:p>
        </w:tc>
      </w:tr>
      <w:tr>
        <w:tc>
          <w:tcPr>
            <w:gridSpan w:val="4"/>
          </w:tcPr>
          <w:p>
            <w:pPr>
              <w:pStyle w:val="Compact"/>
              <w:jc w:val="left"/>
            </w:pPr>
            <w:r>
              <w:rPr>
                <w:bCs/>
                <w:b/>
              </w:rPr>
              <w:t xml:space="preserve">TOTAL ESTIMATED COST (USD – approx. at 1 USD = 125 ETB)</w:t>
            </w:r>
          </w:p>
        </w:tc>
        <w:tc>
          <w:tcPr/>
          <w:p>
            <w:pPr>
              <w:pStyle w:val="Compact"/>
              <w:jc w:val="left"/>
            </w:pPr>
            <w:r>
              <w:rPr>
                <w:bCs/>
                <w:b/>
              </w:rPr>
              <w:t xml:space="preserve">41,768.00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re-confirmation of all rates and availability of the</w:t>
      </w:r>
      <w:r>
        <w:t xml:space="preserve"> </w:t>
      </w:r>
      <w:r>
        <w:t xml:space="preserve">Physicist</w:t>
      </w:r>
      <w:r>
        <w:t xml:space="preserve">.</w:t>
      </w:r>
    </w:p>
    <w:p>
      <w:pPr>
        <w:numPr>
          <w:ilvl w:val="0"/>
          <w:numId w:val="1001"/>
        </w:numPr>
        <w:pStyle w:val="Compact"/>
      </w:pPr>
      <w:r>
        <w:t xml:space="preserve">All services shall be rendered on-site at the client's premises in</w:t>
      </w:r>
      <w:r>
        <w:t xml:space="preserve"> </w:t>
      </w:r>
      <w:r>
        <w:t xml:space="preserve">Ethiopia Addis Ababa</w:t>
      </w:r>
      <w:r>
        <w:t xml:space="preserve">, unless otherwise agreed in writing for remote or hybrid engagement.</w:t>
      </w:r>
    </w:p>
    <w:p>
      <w:pPr>
        <w:numPr>
          <w:ilvl w:val="0"/>
          <w:numId w:val="1001"/>
        </w:numPr>
        <w:pStyle w:val="Compact"/>
      </w:pPr>
      <w:r>
        <w:t xml:space="preserve">Payment shall be made in Ethiopian Birr (ETB) via bank transfer to the account designated by the service provider. Invoices are issued monthly in arrears.</w:t>
      </w:r>
    </w:p>
    <w:p>
      <w:pPr>
        <w:numPr>
          <w:ilvl w:val="0"/>
          <w:numId w:val="1001"/>
        </w:numPr>
        <w:pStyle w:val="Compact"/>
      </w:pPr>
      <w:r>
        <w:t xml:space="preserve">The</w:t>
      </w:r>
      <w:r>
        <w:t xml:space="preserve"> </w:t>
      </w:r>
      <w:r>
        <w:t xml:space="preserve">Physicist</w:t>
      </w:r>
      <w:r>
        <w:t xml:space="preserve"> </w:t>
      </w:r>
      <w:r>
        <w:t xml:space="preserve">shall comply with all applicable Ethiopian labor laws, tax regulations, and institutional policies of the host organization in Addis Ababa.</w:t>
      </w:r>
    </w:p>
    <w:p>
      <w:pPr>
        <w:numPr>
          <w:ilvl w:val="0"/>
          <w:numId w:val="1001"/>
        </w:numPr>
        <w:pStyle w:val="Compact"/>
      </w:pPr>
      <w:r>
        <w:t xml:space="preserve">Intellectual property generated during the engagement shall be jointly owned by the client and the service provider, as stipulated in a separate IP agreement to be executed prior to commencement.</w:t>
      </w:r>
    </w:p>
    <w:p>
      <w:pPr>
        <w:numPr>
          <w:ilvl w:val="0"/>
          <w:numId w:val="1001"/>
        </w:numPr>
        <w:pStyle w:val="Compact"/>
      </w:pPr>
      <w:r>
        <w:t xml:space="preserve">Either party may terminate this engagement with a written notice of thirty (30) days. In such an event, a pro-rata settlement of the</w:t>
      </w:r>
      <w:r>
        <w:t xml:space="preserve"> </w:t>
      </w:r>
      <w:r>
        <w:t xml:space="preserve">Quotation Estimate</w:t>
      </w:r>
      <w:r>
        <w:t xml:space="preserve"> </w:t>
      </w:r>
      <w:r>
        <w:t xml:space="preserve">amounts shall be applied.</w:t>
      </w:r>
    </w:p>
    <w:p>
      <w:pPr>
        <w:numPr>
          <w:ilvl w:val="0"/>
          <w:numId w:val="1001"/>
        </w:numPr>
        <w:pStyle w:val="Compact"/>
      </w:pPr>
      <w:r>
        <w:t xml:space="preserve">The service provider shall maintain professional liability insurance with a minimum coverage of ETB 5,000,000, valid throughout the</w:t>
      </w:r>
      <w:r>
        <w:t xml:space="preserve"> </w:t>
      </w:r>
      <w:r>
        <w:t xml:space="preserve">Ethiopia Addis Ababa</w:t>
      </w:r>
      <w:r>
        <w:t xml:space="preserve"> </w:t>
      </w:r>
      <w:r>
        <w:t xml:space="preserve">operational period.</w:t>
      </w:r>
    </w:p>
    <w:p>
      <w:pPr>
        <w:numPr>
          <w:ilvl w:val="0"/>
          <w:numId w:val="1001"/>
        </w:numPr>
        <w:pStyle w:val="Compact"/>
      </w:pPr>
      <w:r>
        <w:t xml:space="preserve">All data and research materials handled by the</w:t>
      </w:r>
      <w:r>
        <w:t xml:space="preserve"> </w:t>
      </w:r>
      <w:r>
        <w:t xml:space="preserve">Physicist</w:t>
      </w:r>
      <w:r>
        <w:t xml:space="preserve"> </w:t>
      </w:r>
      <w:r>
        <w:t xml:space="preserve">shall be subject to the Ethiopian National Data Protection Framework and institutional confidentiality protocols.</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(ETB)</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1,044,200</w:t>
            </w:r>
          </w:p>
        </w:tc>
        <w:tc>
          <w:tcPr/>
          <w:p>
            <w:pPr>
              <w:pStyle w:val="Compact"/>
              <w:jc w:val="left"/>
            </w:pPr>
            <w:r>
              <w:t xml:space="preserve">Within 7 days of signing</w:t>
            </w:r>
          </w:p>
        </w:tc>
      </w:tr>
      <w:tr>
        <w:tc>
          <w:tcPr/>
          <w:p>
            <w:pPr>
              <w:pStyle w:val="Compact"/>
              <w:jc w:val="left"/>
            </w:pPr>
            <w:r>
              <w:t xml:space="preserve">Quarterly Progress (Q1–Q4)</w:t>
            </w:r>
          </w:p>
        </w:tc>
        <w:tc>
          <w:tcPr/>
          <w:p>
            <w:pPr>
              <w:pStyle w:val="Compact"/>
              <w:jc w:val="left"/>
            </w:pPr>
            <w:r>
              <w:t xml:space="preserve">20% each</w:t>
            </w:r>
          </w:p>
        </w:tc>
        <w:tc>
          <w:tcPr/>
          <w:p>
            <w:pPr>
              <w:pStyle w:val="Compact"/>
              <w:jc w:val="left"/>
            </w:pPr>
            <w:r>
              <w:t xml:space="preserve">1,044,200 each</w:t>
            </w:r>
          </w:p>
        </w:tc>
        <w:tc>
          <w:tcPr/>
          <w:p>
            <w:pPr>
              <w:pStyle w:val="Compact"/>
              <w:jc w:val="left"/>
            </w:pPr>
            <w:r>
              <w:t xml:space="preserve">End of each quarter</w:t>
            </w:r>
          </w:p>
        </w:tc>
      </w:tr>
      <w:tr>
        <w:tc>
          <w:tcPr/>
          <w:p>
            <w:pPr>
              <w:pStyle w:val="Compact"/>
              <w:jc w:val="left"/>
            </w:pPr>
            <w:r>
              <w:t xml:space="preserve">Final Deliverable &amp; Handover</w:t>
            </w:r>
          </w:p>
        </w:tc>
        <w:tc>
          <w:tcPr/>
          <w:p>
            <w:pPr>
              <w:pStyle w:val="Compact"/>
              <w:jc w:val="left"/>
            </w:pPr>
            <w:r>
              <w:t xml:space="preserve">20%</w:t>
            </w:r>
          </w:p>
        </w:tc>
        <w:tc>
          <w:tcPr/>
          <w:p>
            <w:pPr>
              <w:pStyle w:val="Compact"/>
              <w:jc w:val="left"/>
            </w:pPr>
            <w:r>
              <w:t xml:space="preserve">1,044,200</w:t>
            </w:r>
          </w:p>
        </w:tc>
        <w:tc>
          <w:tcPr/>
          <w:p>
            <w:pPr>
              <w:pStyle w:val="Compact"/>
              <w:jc w:val="left"/>
            </w:pPr>
            <w:r>
              <w:t xml:space="preserve">Upon project completion</w:t>
            </w:r>
          </w:p>
        </w:tc>
      </w:tr>
    </w:tbl>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in full, agreeing to all terms, conditions, and the scope of</w:t>
      </w:r>
      <w:r>
        <w:t xml:space="preserve"> </w:t>
      </w:r>
      <w:r>
        <w:t xml:space="preserve">Physicist</w:t>
      </w:r>
      <w:r>
        <w:t xml:space="preserve"> </w:t>
      </w:r>
      <w:r>
        <w:t xml:space="preserve">services as described herein for delivery in</w:t>
      </w:r>
      <w:r>
        <w:t xml:space="preserve"> </w:t>
      </w:r>
      <w:r>
        <w:t xml:space="preserve">Ethiopia Addis Ababa</w:t>
      </w:r>
      <w:r>
        <w:t xml:space="preserve">. This document, once countersigned, constitutes a binding service agreement between the parties.</w:t>
      </w:r>
    </w:p>
    <w:p>
      <w:pPr>
        <w:pStyle w:val="BodyText"/>
      </w:pPr>
      <w:r>
        <w:rPr>
          <w:bCs/>
          <w:b/>
        </w:rPr>
        <w:t xml:space="preserve">Prepared By (Service Provider)</w:t>
      </w:r>
      <w:r>
        <w:br/>
      </w:r>
      <w:r>
        <w:t xml:space="preserve">Dr. Abebe Kebede, Ph.D. (Physics)</w:t>
      </w:r>
      <w:r>
        <w:br/>
      </w:r>
      <w:r>
        <w:t xml:space="preserve">Lead Consultant – Ethiopia Addis Ababa</w:t>
      </w:r>
      <w:r>
        <w:br/>
      </w:r>
      <w:r>
        <w:t xml:space="preserve">Date: _______________</w:t>
      </w:r>
    </w:p>
    <w:p>
      <w:pPr>
        <w:pStyle w:val="BodyText"/>
      </w:pPr>
      <w:r>
        <w:rPr>
          <w:bCs/>
          <w:b/>
        </w:rPr>
        <w:t xml:space="preserve">Accepted By (Client)</w:t>
      </w:r>
      <w:r>
        <w:br/>
      </w:r>
      <w:r>
        <w:t xml:space="preserve">Dr. Selamawit Tadesse</w:t>
      </w:r>
      <w:r>
        <w:br/>
      </w:r>
      <w:r>
        <w:t xml:space="preserve">Head of Department, EIT – Addis Ababa</w:t>
      </w:r>
      <w:r>
        <w:br/>
      </w:r>
      <w:r>
        <w:t xml:space="preserve">Date: _______________</w:t>
      </w:r>
    </w:p>
    <w:p>
      <w:pPr>
        <w:pStyle w:val="BodyText"/>
      </w:pPr>
      <w:r>
        <w:t xml:space="preserve">This Quotation Estimate document (Ref: QTE-2025-ABJ-0047) is issued by Ethiopia Addis Ababa Professional Sciences Consultancy PLC. All rates are inclusive of applicable Ethiopian statutory deductions unless otherwise noted. For inquiries, contact the office at Bole Sub-City, Addis Ababa, Ethiopia.</w:t>
      </w:r>
    </w:p>
    <w:p>
      <w:pPr>
        <w:pStyle w:val="BodyText"/>
      </w:pPr>
      <w:r>
        <w:t xml:space="preserve">© 2025 Ethiopia Addis Ababa Professional Sciences Consultancy PLC.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Ethiopia Addis Ababa</dc:title>
  <dc:creator/>
  <dc:language>en</dc:language>
  <cp:keywords/>
  <dcterms:created xsi:type="dcterms:W3CDTF">2026-10-10T04:31:55Z</dcterms:created>
  <dcterms:modified xsi:type="dcterms:W3CDTF">2026-10-10T04:31:55Z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