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7" w:name="quotation-estimate"/>
    <w:p>
      <w:pPr>
        <w:pStyle w:val="Heading1"/>
      </w:pPr>
      <w:r>
        <w:t xml:space="preserve">QUOTATION ESTIMATE</w:t>
      </w:r>
    </w:p>
    <w:bookmarkStart w:id="20" w:name="quantum-applied-sciences-gmbh"/>
    <w:p>
      <w:pPr>
        <w:pStyle w:val="Heading3"/>
      </w:pPr>
      <w:r>
        <w:t xml:space="preserve">Quantum Applied Sciences GmbH</w:t>
      </w:r>
    </w:p>
    <w:p>
      <w:pPr>
        <w:pStyle w:val="FirstParagraph"/>
      </w:pPr>
      <w:r>
        <w:t xml:space="preserve">Physicist Consulting &amp; Research Division</w:t>
      </w:r>
    </w:p>
    <w:p>
      <w:pPr>
        <w:pStyle w:val="BodyText"/>
      </w:pPr>
      <w:r>
        <w:t xml:space="preserve">Unter den Linden 42, 10117 Berlin, Germany</w:t>
      </w:r>
    </w:p>
    <w:p>
      <w:pPr>
        <w:pStyle w:val="BodyText"/>
      </w:pPr>
      <w:r>
        <w:t xml:space="preserve">Tel: +49 30 555 0182</w:t>
      </w:r>
    </w:p>
    <w:p>
      <w:pPr>
        <w:pStyle w:val="BodyText"/>
      </w:pPr>
      <w:r>
        <w:t xml:space="preserve">Email: estimates@quantum-applied.de</w:t>
      </w:r>
    </w:p>
    <w:p>
      <w:pPr>
        <w:pStyle w:val="BodyText"/>
      </w:pPr>
      <w:r>
        <w:t xml:space="preserve">USt-IdNr: DE 312 456 789</w:t>
      </w:r>
    </w:p>
    <w:bookmarkEnd w:id="20"/>
    <w:bookmarkStart w:id="21" w:name="prepared-for"/>
    <w:p>
      <w:pPr>
        <w:pStyle w:val="Heading3"/>
      </w:pPr>
      <w:r>
        <w:t xml:space="preserve">Prepared For:</w:t>
      </w:r>
    </w:p>
    <w:p>
      <w:pPr>
        <w:pStyle w:val="FirstParagraph"/>
      </w:pPr>
      <w:r>
        <w:t xml:space="preserve">Dr. Heinrich Vogel</w:t>
      </w:r>
    </w:p>
    <w:p>
      <w:pPr>
        <w:pStyle w:val="BodyText"/>
      </w:pPr>
      <w:r>
        <w:t xml:space="preserve">Director of Research &amp; Development</w:t>
      </w:r>
    </w:p>
    <w:p>
      <w:pPr>
        <w:pStyle w:val="BodyText"/>
      </w:pPr>
      <w:r>
        <w:t xml:space="preserve">TechnikUnion AG</w:t>
      </w:r>
    </w:p>
    <w:p>
      <w:pPr>
        <w:pStyle w:val="BodyText"/>
      </w:pPr>
      <w:r>
        <w:t xml:space="preserve">Friedrichstraße 180, 10117 Berlin, Germany</w:t>
      </w:r>
    </w:p>
    <w:p>
      <w:pPr>
        <w:pStyle w:val="BodyText"/>
      </w:pPr>
      <w:r>
        <w:t xml:space="preserve">Tel: +49 30 778 4421</w:t>
      </w:r>
    </w:p>
    <w:p>
      <w:pPr>
        <w:pStyle w:val="BodyText"/>
      </w:pPr>
      <w:r>
        <w:t xml:space="preserve">Email: h.vogel@technikunion.de</w:t>
      </w:r>
    </w:p>
    <w:bookmarkEnd w:id="21"/>
    <w:p>
      <w:pPr>
        <w:pStyle w:val="BodyText"/>
      </w:pPr>
      <w:r>
        <w:rPr>
          <w:bCs/>
          <w:b/>
        </w:rPr>
        <w:t xml:space="preserve">Quotation Estimate No.:</w:t>
      </w:r>
      <w:r>
        <w:t xml:space="preserve"> </w:t>
      </w:r>
      <w:r>
        <w:t xml:space="preserve">QAS-2025-0417-BER</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TU-ADV-PHY-2025</w:t>
      </w:r>
    </w:p>
    <w:p>
      <w:pPr>
        <w:pStyle w:val="BodyText"/>
      </w:pPr>
      <w:r>
        <w:rPr>
          <w:bCs/>
          <w:b/>
        </w:rPr>
        <w:t xml:space="preserve">Location of Service:</w:t>
      </w:r>
      <w:r>
        <w:t xml:space="preserve"> </w:t>
      </w:r>
      <w:r>
        <w:t xml:space="preserve">Germany Berlin</w:t>
      </w:r>
    </w:p>
    <w:bookmarkStart w:id="22" w:name="Xa92776db205805712502c2e8b6177fffe922d75"/>
    <w:p>
      <w:pPr>
        <w:pStyle w:val="Heading2"/>
      </w:pPr>
      <w:r>
        <w:t xml:space="preserve">1. Scope of Work – Physicist Engagement in Germany Berlin</w:t>
      </w:r>
    </w:p>
    <w:p>
      <w:pPr>
        <w:pStyle w:val="FirstParagraph"/>
      </w:pPr>
      <w:r>
        <w:t xml:space="preserve">This</w:t>
      </w:r>
      <w:r>
        <w:t xml:space="preserve"> </w:t>
      </w:r>
      <w:r>
        <w:rPr>
          <w:bCs/>
          <w:b/>
        </w:rPr>
        <w:t xml:space="preserve">Quotation Estimate</w:t>
      </w:r>
      <w:r>
        <w:t xml:space="preserve"> </w:t>
      </w:r>
      <w:r>
        <w:t xml:space="preserve">is issued by Quantum Applied Sciences GmbH in response to the formal request from TechnikUnion AG for the engagement of a senior</w:t>
      </w:r>
      <w:r>
        <w:t xml:space="preserve"> </w:t>
      </w:r>
      <w:r>
        <w:rPr>
          <w:bCs/>
          <w:b/>
        </w:rPr>
        <w:t xml:space="preserve">Physicist</w:t>
      </w:r>
      <w:r>
        <w:t xml:space="preserve"> </w:t>
      </w:r>
      <w:r>
        <w:t xml:space="preserve">to provide specialized consulting, experimental design, and analytical support for the advanced materials research programme to be conducted at the TechnikUnion laboratory facilities in</w:t>
      </w:r>
      <w:r>
        <w:t xml:space="preserve"> </w:t>
      </w:r>
      <w:r>
        <w:rPr>
          <w:bCs/>
          <w:b/>
        </w:rPr>
        <w:t xml:space="preserve">Germany Berlin</w:t>
      </w:r>
      <w:r>
        <w:t xml:space="preserve">. The scope of this engagement encompasses the full spectrum of theoretical and applied physics services required to advance the client's R&amp;D objectives over a twelve-month period.</w:t>
      </w:r>
    </w:p>
    <w:p>
      <w:pPr>
        <w:pStyle w:val="BodyText"/>
      </w:pPr>
      <w:r>
        <w:t xml:space="preserve">The designated</w:t>
      </w:r>
      <w:r>
        <w:t xml:space="preserve"> </w:t>
      </w:r>
      <w:r>
        <w:rPr>
          <w:bCs/>
          <w:b/>
        </w:rPr>
        <w:t xml:space="preserve">Physicist</w:t>
      </w:r>
      <w:r>
        <w:t xml:space="preserve">, Dr. Elena Marchetti (PhD, Theoretical and Condensed Matter Physics, University of Heidelberg), will be embedded within the TechnikUnion team in</w:t>
      </w:r>
      <w:r>
        <w:t xml:space="preserve"> </w:t>
      </w:r>
      <w:r>
        <w:rPr>
          <w:bCs/>
          <w:b/>
        </w:rPr>
        <w:t xml:space="preserve">Germany Berlin</w:t>
      </w:r>
      <w:r>
        <w:t xml:space="preserve"> </w:t>
      </w:r>
      <w:r>
        <w:t xml:space="preserve">for a minimum of four days per week. Her responsibilities include, but are not limited to: the development of quantum-mechanical models for novel semiconductor substrates; the design and supervision of experimental protocols at the client's Berlin laboratory; the preparation of peer-reviewed technical reports; and the provision of strategic advisory input to the R&amp;D leadership regarding the feasibility of proposed research pathways.</w:t>
      </w:r>
    </w:p>
    <w:bookmarkEnd w:id="22"/>
    <w:bookmarkStart w:id="23"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Physicist – Consulting &amp; Theoretical Modelling (on-site, Germany Berlin)</w:t>
            </w:r>
          </w:p>
        </w:tc>
        <w:tc>
          <w:tcPr/>
          <w:p>
            <w:pPr>
              <w:pStyle w:val="Compact"/>
              <w:jc w:val="left"/>
            </w:pPr>
            <w:r>
              <w:t xml:space="preserve">480 hrs</w:t>
            </w:r>
          </w:p>
        </w:tc>
        <w:tc>
          <w:tcPr/>
          <w:p>
            <w:pPr>
              <w:pStyle w:val="Compact"/>
              <w:jc w:val="left"/>
            </w:pPr>
            <w:r>
              <w:t xml:space="preserve">185.00</w:t>
            </w:r>
          </w:p>
        </w:tc>
        <w:tc>
          <w:tcPr/>
          <w:p>
            <w:pPr>
              <w:pStyle w:val="Compact"/>
              <w:jc w:val="left"/>
            </w:pPr>
            <w:r>
              <w:t xml:space="preserve">88,800.00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Experimental Design &amp; Laboratory Supervision (Germany Berlin facility)</w:t>
            </w:r>
          </w:p>
        </w:tc>
        <w:tc>
          <w:tcPr/>
          <w:p>
            <w:pPr>
              <w:pStyle w:val="Compact"/>
              <w:jc w:val="left"/>
            </w:pPr>
            <w:r>
              <w:t xml:space="preserve">120 hrs</w:t>
            </w:r>
          </w:p>
        </w:tc>
        <w:tc>
          <w:tcPr/>
          <w:p>
            <w:pPr>
              <w:pStyle w:val="Compact"/>
              <w:jc w:val="left"/>
            </w:pPr>
            <w:r>
              <w:t xml:space="preserve">210.00</w:t>
            </w:r>
          </w:p>
        </w:tc>
        <w:tc>
          <w:tcPr/>
          <w:p>
            <w:pPr>
              <w:pStyle w:val="Compact"/>
              <w:jc w:val="left"/>
            </w:pPr>
            <w:r>
              <w:t xml:space="preserve">25,200.00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Technical Report Preparation &amp; Peer-Review Coordination</w:t>
            </w:r>
          </w:p>
        </w:tc>
        <w:tc>
          <w:tcPr/>
          <w:p>
            <w:pPr>
              <w:pStyle w:val="Compact"/>
              <w:jc w:val="left"/>
            </w:pPr>
            <w:r>
              <w:t xml:space="preserve">24 reports</w:t>
            </w:r>
          </w:p>
        </w:tc>
        <w:tc>
          <w:tcPr/>
          <w:p>
            <w:pPr>
              <w:pStyle w:val="Compact"/>
              <w:jc w:val="left"/>
            </w:pPr>
            <w:r>
              <w:t xml:space="preserve">1,450.00</w:t>
            </w:r>
          </w:p>
        </w:tc>
        <w:tc>
          <w:tcPr/>
          <w:p>
            <w:pPr>
              <w:pStyle w:val="Compact"/>
              <w:jc w:val="left"/>
            </w:pPr>
            <w:r>
              <w:t xml:space="preserve">34,800.00</w:t>
            </w:r>
          </w:p>
        </w:tc>
        <w:tc>
          <w:tcPr/>
          <w:p>
            <w:pPr>
              <w:pStyle w:val="Compact"/>
              <w:jc w:val="left"/>
            </w:pPr>
            <w:r>
              <w:t xml:space="preserve">2 per month</w:t>
            </w:r>
          </w:p>
        </w:tc>
      </w:tr>
      <w:tr>
        <w:tc>
          <w:tcPr/>
          <w:p>
            <w:pPr>
              <w:pStyle w:val="Compact"/>
              <w:jc w:val="left"/>
            </w:pPr>
            <w:r>
              <w:t xml:space="preserve">4</w:t>
            </w:r>
          </w:p>
        </w:tc>
        <w:tc>
          <w:tcPr/>
          <w:p>
            <w:pPr>
              <w:pStyle w:val="Compact"/>
              <w:jc w:val="left"/>
            </w:pPr>
            <w:r>
              <w:t xml:space="preserve">Strategic Advisory Sessions with R&amp;D Leadership (Germany Berlin HQ)</w:t>
            </w:r>
          </w:p>
        </w:tc>
        <w:tc>
          <w:tcPr/>
          <w:p>
            <w:pPr>
              <w:pStyle w:val="Compact"/>
              <w:jc w:val="left"/>
            </w:pPr>
            <w:r>
              <w:t xml:space="preserve">12 sessions</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1 per month</w:t>
            </w:r>
          </w:p>
        </w:tc>
      </w:tr>
      <w:tr>
        <w:tc>
          <w:tcPr/>
          <w:p>
            <w:pPr>
              <w:pStyle w:val="Compact"/>
              <w:jc w:val="left"/>
            </w:pPr>
            <w:r>
              <w:t xml:space="preserve">5</w:t>
            </w:r>
          </w:p>
        </w:tc>
        <w:tc>
          <w:tcPr/>
          <w:p>
            <w:pPr>
              <w:pStyle w:val="Compact"/>
              <w:jc w:val="left"/>
            </w:pPr>
            <w:r>
              <w:t xml:space="preserve">Travel &amp; Accommodation Allowance (within Germany Berlin metropolitan area)</w:t>
            </w:r>
          </w:p>
        </w:tc>
        <w:tc>
          <w:tcPr/>
          <w:p>
            <w:pPr>
              <w:pStyle w:val="Compact"/>
              <w:jc w:val="left"/>
            </w:pPr>
            <w:r>
              <w:t xml:space="preserve">48 days</w:t>
            </w:r>
          </w:p>
        </w:tc>
        <w:tc>
          <w:tcPr/>
          <w:p>
            <w:pPr>
              <w:pStyle w:val="Compact"/>
              <w:jc w:val="left"/>
            </w:pPr>
            <w:r>
              <w:t xml:space="preserve">120.00</w:t>
            </w:r>
          </w:p>
        </w:tc>
        <w:tc>
          <w:tcPr/>
          <w:p>
            <w:pPr>
              <w:pStyle w:val="Compact"/>
              <w:jc w:val="left"/>
            </w:pPr>
            <w:r>
              <w:t xml:space="preserve">5,760.00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Specialized Software Licences &amp; Simulation Tools (annual)</w:t>
            </w:r>
          </w:p>
        </w:tc>
        <w:tc>
          <w:tcPr/>
          <w:p>
            <w:pPr>
              <w:pStyle w:val="Compact"/>
              <w:jc w:val="left"/>
            </w:pPr>
            <w:r>
              <w:t xml:space="preserve">1 lot</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Project Management &amp; Administrative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18,986.00</w:t>
            </w:r>
          </w:p>
        </w:tc>
        <w:tc>
          <w:tcPr/>
          <w:p>
            <w:pPr>
              <w:pStyle w:val="Compact"/>
              <w:jc w:val="left"/>
            </w:pPr>
            <w:r>
              <w:t xml:space="preserve">12 months</w:t>
            </w:r>
          </w:p>
        </w:tc>
      </w:tr>
      <w:tr>
        <w:tc>
          <w:tcPr>
            <w:gridSpan w:val="4"/>
          </w:tcPr>
          <w:p>
            <w:pPr>
              <w:pStyle w:val="Compact"/>
              <w:jc w:val="left"/>
            </w:pPr>
            <w:r>
              <w:t xml:space="preserve">Subtotal (excl. VAT)</w:t>
            </w:r>
          </w:p>
        </w:tc>
        <w:tc>
          <w:tcPr/>
          <w:p>
            <w:pPr>
              <w:pStyle w:val="Compact"/>
              <w:jc w:val="left"/>
            </w:pPr>
            <w:r>
              <w:t xml:space="preserve">208,846.00</w:t>
            </w:r>
          </w:p>
        </w:tc>
        <w:tc>
          <w:tcPr/>
          <w:p>
            <w:pPr>
              <w:pStyle w:val="Compact"/>
            </w:pPr>
          </w:p>
        </w:tc>
      </w:tr>
      <w:tr>
        <w:tc>
          <w:tcPr>
            <w:gridSpan w:val="4"/>
          </w:tcPr>
          <w:p>
            <w:pPr>
              <w:pStyle w:val="Compact"/>
              <w:jc w:val="left"/>
            </w:pPr>
            <w:r>
              <w:t xml:space="preserve">VAT (19% – Germany Berlin, UStG §12)</w:t>
            </w:r>
          </w:p>
        </w:tc>
        <w:tc>
          <w:tcPr/>
          <w:p>
            <w:pPr>
              <w:pStyle w:val="Compact"/>
              <w:jc w:val="left"/>
            </w:pPr>
            <w:r>
              <w:t xml:space="preserve">39,680.74</w:t>
            </w:r>
          </w:p>
        </w:tc>
        <w:tc>
          <w:tcPr/>
          <w:p>
            <w:pPr>
              <w:pStyle w:val="Compact"/>
            </w:pPr>
          </w:p>
        </w:tc>
      </w:tr>
      <w:tr>
        <w:tc>
          <w:tcPr>
            <w:gridSpan w:val="4"/>
          </w:tcPr>
          <w:p>
            <w:pPr>
              <w:pStyle w:val="Compact"/>
              <w:jc w:val="left"/>
            </w:pPr>
            <w:r>
              <w:t xml:space="preserve">TOTAL AMOUNT DUE (incl. VAT)</w:t>
            </w:r>
          </w:p>
        </w:tc>
        <w:tc>
          <w:tcPr/>
          <w:p>
            <w:pPr>
              <w:pStyle w:val="Compact"/>
              <w:jc w:val="left"/>
            </w:pPr>
            <w:r>
              <w:t xml:space="preserve">248,526.74</w:t>
            </w:r>
          </w:p>
        </w:tc>
        <w:tc>
          <w:tcPr/>
          <w:p>
            <w:pPr>
              <w:pStyle w:val="Compact"/>
            </w:pPr>
          </w:p>
        </w:tc>
      </w:tr>
    </w:tbl>
    <w:bookmarkEnd w:id="23"/>
    <w:bookmarkStart w:id="24" w:name="payment-terms"/>
    <w:p>
      <w:pPr>
        <w:pStyle w:val="Heading2"/>
      </w:pPr>
      <w:r>
        <w:t xml:space="preserve">3. Payment Terms</w:t>
      </w:r>
    </w:p>
    <w:p>
      <w:pPr>
        <w:pStyle w:val="FirstParagraph"/>
      </w:pPr>
      <w:r>
        <w:t xml:space="preserve">The total amount specified in this</w:t>
      </w:r>
      <w:r>
        <w:t xml:space="preserve"> </w:t>
      </w:r>
      <w:r>
        <w:rPr>
          <w:bCs/>
          <w:b/>
        </w:rPr>
        <w:t xml:space="preserve">Quotation Estimate</w:t>
      </w:r>
      <w:r>
        <w:t xml:space="preserve"> </w:t>
      </w:r>
      <w:r>
        <w:t xml:space="preserve">shall be invoiced on a monthly basis, with each invoice covering the services rendered by the</w:t>
      </w:r>
      <w:r>
        <w:t xml:space="preserve"> </w:t>
      </w:r>
      <w:r>
        <w:rPr>
          <w:bCs/>
          <w:b/>
        </w:rPr>
        <w:t xml:space="preserve">Physicist</w:t>
      </w:r>
      <w:r>
        <w:t xml:space="preserve"> </w:t>
      </w:r>
      <w:r>
        <w:t xml:space="preserve">during the preceding calendar month. Payment is due within thirty (30) days of the invoice date via bank transfer to the account of Quantum Applied Sciences GmbH, IBAN DE89 3704 0044 0532 0130 00, BIC COBADEFFXXX, located in</w:t>
      </w:r>
      <w:r>
        <w:t xml:space="preserve"> </w:t>
      </w:r>
      <w:r>
        <w:rPr>
          <w:bCs/>
          <w:b/>
        </w:rPr>
        <w:t xml:space="preserve">Germany Berlin</w:t>
      </w:r>
      <w:r>
        <w:t xml:space="preserve">. Late payments shall accrue interest at the statutory rate pursuant to §288 of the German Civil Code (BGB).</w:t>
      </w:r>
    </w:p>
    <w:bookmarkEnd w:id="24"/>
    <w:bookmarkStart w:id="25" w:name="terms-and-conditions"/>
    <w:p>
      <w:pPr>
        <w:pStyle w:val="Heading2"/>
      </w:pPr>
      <w:r>
        <w:t xml:space="preserve">4.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ninety (90) days from the date of issue. Upon expiry, all rates and terms must be renegotiated in writing.</w:t>
      </w:r>
    </w:p>
    <w:p>
      <w:pPr>
        <w:numPr>
          <w:ilvl w:val="0"/>
          <w:numId w:val="1001"/>
        </w:numPr>
        <w:pStyle w:val="Compact"/>
      </w:pPr>
      <w:r>
        <w:t xml:space="preserve">The</w:t>
      </w:r>
      <w:r>
        <w:t xml:space="preserve"> </w:t>
      </w:r>
      <w:r>
        <w:rPr>
          <w:bCs/>
          <w:b/>
        </w:rPr>
        <w:t xml:space="preserve">Physicist</w:t>
      </w:r>
      <w:r>
        <w:t xml:space="preserve"> </w:t>
      </w:r>
      <w:r>
        <w:t xml:space="preserve">engaged under this estimate shall be bound by a strict confidentiality and non-disclosure agreement (NDA) covering all proprietary data, research findings, and trade secrets of TechnikUnion AG, in compliance with the German Federal Data Protection Act (BDSG) and the EU General Data Protection Regulation (GDPR).</w:t>
      </w:r>
    </w:p>
    <w:p>
      <w:pPr>
        <w:numPr>
          <w:ilvl w:val="0"/>
          <w:numId w:val="1001"/>
        </w:numPr>
        <w:pStyle w:val="Compact"/>
      </w:pPr>
      <w:r>
        <w:t xml:space="preserve">All services shall be performed at the designated laboratory and office premises of TechnikUnion AG in</w:t>
      </w:r>
      <w:r>
        <w:t xml:space="preserve"> </w:t>
      </w:r>
      <w:r>
        <w:rPr>
          <w:bCs/>
          <w:b/>
        </w:rPr>
        <w:t xml:space="preserve">Germany Berlin</w:t>
      </w:r>
      <w:r>
        <w:t xml:space="preserve">, unless otherwise agreed in writing by both parties.</w:t>
      </w:r>
    </w:p>
    <w:p>
      <w:pPr>
        <w:numPr>
          <w:ilvl w:val="0"/>
          <w:numId w:val="1001"/>
        </w:numPr>
        <w:pStyle w:val="Compact"/>
      </w:pPr>
      <w:r>
        <w:t xml:space="preserve">Intellectual property (IP) generated by the</w:t>
      </w:r>
      <w:r>
        <w:t xml:space="preserve"> </w:t>
      </w:r>
      <w:r>
        <w:rPr>
          <w:bCs/>
          <w:b/>
        </w:rPr>
        <w:t xml:space="preserve">Physicist</w:t>
      </w:r>
      <w:r>
        <w:t xml:space="preserve"> </w:t>
      </w:r>
      <w:r>
        <w:t xml:space="preserve">during the course of this engagement shall be owned by TechnikUnion AG, subject to the prior written consent of Quantum Applied Sciences GmbH for any pre-existing methodologies or models.</w:t>
      </w:r>
    </w:p>
    <w:p>
      <w:pPr>
        <w:numPr>
          <w:ilvl w:val="0"/>
          <w:numId w:val="1001"/>
        </w:numPr>
        <w:pStyle w:val="Compact"/>
      </w:pPr>
      <w:r>
        <w:t xml:space="preserve">Either party may terminate this engagement with a written notice period of sixty (60) days. In the event of early termination, all services rendered up to the effective date of termination shall be invoiced in full.</w:t>
      </w:r>
    </w:p>
    <w:p>
      <w:pPr>
        <w:numPr>
          <w:ilvl w:val="0"/>
          <w:numId w:val="1001"/>
        </w:numPr>
        <w:pStyle w:val="Compact"/>
      </w:pPr>
      <w:r>
        <w:t xml:space="preserve">This</w:t>
      </w:r>
      <w:r>
        <w:t xml:space="preserve"> </w:t>
      </w:r>
      <w:r>
        <w:rPr>
          <w:bCs/>
          <w:b/>
        </w:rPr>
        <w:t xml:space="preserve">Quotation Estimate</w:t>
      </w:r>
      <w:r>
        <w:t xml:space="preserve"> </w:t>
      </w:r>
      <w:r>
        <w:t xml:space="preserve">is governed by the laws of the Federal Republic of Germany. Any disputes arising from or in connection with this estimate shall be subject to the exclusive jurisdiction of the competent courts in</w:t>
      </w:r>
      <w:r>
        <w:t xml:space="preserve"> </w:t>
      </w:r>
      <w:r>
        <w:rPr>
          <w:bCs/>
          <w:b/>
        </w:rPr>
        <w:t xml:space="preserve">Germany Berlin</w:t>
      </w:r>
      <w:r>
        <w:t xml:space="preserve">.</w:t>
      </w:r>
    </w:p>
    <w:p>
      <w:pPr>
        <w:numPr>
          <w:ilvl w:val="0"/>
          <w:numId w:val="1001"/>
        </w:numPr>
        <w:pStyle w:val="Compact"/>
      </w:pPr>
      <w:r>
        <w:t xml:space="preserve">Force majeure events, including but not limited to natural disasters, pandemics, or government-mandated closures affecting operations in</w:t>
      </w:r>
      <w:r>
        <w:t xml:space="preserve"> </w:t>
      </w:r>
      <w:r>
        <w:rPr>
          <w:bCs/>
          <w:b/>
        </w:rPr>
        <w:t xml:space="preserve">Germany Berlin</w:t>
      </w:r>
      <w:r>
        <w:t xml:space="preserve">, shall suspend the obligations of both parties for the duration of the event without penalty.</w:t>
      </w:r>
    </w:p>
    <w:bookmarkEnd w:id="25"/>
    <w:bookmarkStart w:id="26" w:name="acceptance-and-authorization"/>
    <w:p>
      <w:pPr>
        <w:pStyle w:val="Heading2"/>
      </w:pPr>
      <w:r>
        <w:t xml:space="preserve">5. Acceptance and Authorization</w:t>
      </w:r>
    </w:p>
    <w:p>
      <w:pPr>
        <w:pStyle w:val="FirstParagraph"/>
      </w:pPr>
      <w:r>
        <w:t xml:space="preserve">By signing below, the client acknowledges and accepts all terms, conditions, rates, and scope of work outlined in this</w:t>
      </w:r>
      <w:r>
        <w:t xml:space="preserve"> </w:t>
      </w:r>
      <w:r>
        <w:rPr>
          <w:bCs/>
          <w:b/>
        </w:rPr>
        <w:t xml:space="preserve">Quotation Estimate</w:t>
      </w:r>
      <w:r>
        <w:t xml:space="preserve"> </w:t>
      </w:r>
      <w:r>
        <w:t xml:space="preserve">for the engagement of the</w:t>
      </w:r>
      <w:r>
        <w:t xml:space="preserve"> </w:t>
      </w:r>
      <w:r>
        <w:rPr>
          <w:bCs/>
          <w:b/>
        </w:rPr>
        <w:t xml:space="preserve">Physicist</w:t>
      </w:r>
      <w:r>
        <w:t xml:space="preserve"> </w:t>
      </w:r>
      <w:r>
        <w:t xml:space="preserve">in</w:t>
      </w:r>
      <w:r>
        <w:t xml:space="preserve"> </w:t>
      </w:r>
      <w:r>
        <w:rPr>
          <w:bCs/>
          <w:b/>
        </w:rPr>
        <w:t xml:space="preserve">Germany Berlin</w:t>
      </w:r>
      <w:r>
        <w:t xml:space="preserve">. This document, once countersigned by both parties, constitutes a binding commercial agreement.</w:t>
      </w:r>
    </w:p>
    <w:p>
      <w:pPr>
        <w:pStyle w:val="BodyText"/>
      </w:pPr>
      <w:r>
        <w:rPr>
          <w:bCs/>
          <w:b/>
        </w:rPr>
        <w:t xml:space="preserve">For Quantum Applied Sciences GmbH</w:t>
      </w:r>
    </w:p>
    <w:p>
      <w:pPr>
        <w:pStyle w:val="BodyText"/>
      </w:pPr>
      <w:r>
        <w:t xml:space="preserve">Dr. Klaus Reinhardt,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TechnikUnion AG</w:t>
      </w:r>
    </w:p>
    <w:p>
      <w:pPr>
        <w:pStyle w:val="BodyText"/>
      </w:pPr>
      <w:r>
        <w:t xml:space="preserve">Dr. Heinrich Vogel, Director R&amp;D</w:t>
      </w:r>
    </w:p>
    <w:p>
      <w:pPr>
        <w:pStyle w:val="BodyText"/>
      </w:pPr>
      <w:r>
        <w:t xml:space="preserve">Signature: ___________________________</w:t>
      </w:r>
    </w:p>
    <w:p>
      <w:pPr>
        <w:pStyle w:val="BodyText"/>
      </w:pPr>
      <w:r>
        <w:t xml:space="preserve">Date: ___________________________</w:t>
      </w:r>
    </w:p>
    <w:p>
      <w:pPr>
        <w:pStyle w:val="BodyText"/>
      </w:pPr>
      <w:r>
        <w:t xml:space="preserve">Quantum Applied Sciences GmbH · Unter den Linden 42, 10117 Berlin, Germany · HRB 123456 B, Amtsgericht Berlin-Charlottenburg</w:t>
      </w:r>
    </w:p>
    <w:p>
      <w:pPr>
        <w:pStyle w:val="BodyText"/>
      </w:pPr>
      <w:r>
        <w:t xml:space="preserve">This Quotation Estimate was generated electronically and is valid without a physical seal. Document ID: QAS-2025-0417-BER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Germany Berlin</dc:title>
  <dc:creator/>
  <dc:language>en</dc:language>
  <cp:keywords/>
  <dcterms:created xsi:type="dcterms:W3CDTF">2026-10-10T01:02:49Z</dcterms:created>
  <dcterms:modified xsi:type="dcterms:W3CDTF">2026-10-10T01:02:49Z</dcterms:modified>
</cp:coreProperties>
</file>

<file path=docProps/custom.xml><?xml version="1.0" encoding="utf-8"?>
<Properties xmlns="http://schemas.openxmlformats.org/officeDocument/2006/custom-properties" xmlns:vt="http://schemas.openxmlformats.org/officeDocument/2006/docPropsVTypes"/>
</file>