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Physicist</w:t>
      </w:r>
      <w:r>
        <w:t xml:space="preserve"> </w:t>
      </w:r>
      <w:r>
        <w:t xml:space="preserve">Services</w:t>
      </w:r>
      <w:r>
        <w:t xml:space="preserve"> </w:t>
      </w:r>
      <w:r>
        <w:t xml:space="preserve">-</w:t>
      </w:r>
      <w:r>
        <w:t xml:space="preserve"> </w:t>
      </w:r>
      <w:r>
        <w:t xml:space="preserve">Germany</w:t>
      </w:r>
      <w:r>
        <w:t xml:space="preserve"> </w:t>
      </w:r>
      <w:r>
        <w:t xml:space="preserve">Frankfurt</w:t>
      </w:r>
    </w:p>
    <w:bookmarkStart w:id="20" w:name="quotation-estimate"/>
    <w:p>
      <w:pPr>
        <w:pStyle w:val="Heading1"/>
      </w:pPr>
      <w:r>
        <w:t xml:space="preserve">QUOTATION ESTIMATE</w:t>
      </w:r>
    </w:p>
    <w:p>
      <w:pPr>
        <w:pStyle w:val="FirstParagraph"/>
      </w:pPr>
      <w:r>
        <w:t xml:space="preserve">Professional Physicist Consultation &amp; Technical Services</w:t>
      </w:r>
    </w:p>
    <w:p>
      <w:pPr>
        <w:pStyle w:val="BodyText"/>
      </w:pPr>
      <w:r>
        <w:t xml:space="preserve">Prepared for use in Germany Frankfurt</w:t>
      </w:r>
    </w:p>
    <w:p>
      <w:pPr>
        <w:pStyle w:val="BodyText"/>
      </w:pPr>
      <w:r>
        <w:t xml:space="preserve">Document Ref: QE-PHY-FRA-2025-0047</w:t>
      </w:r>
    </w:p>
    <w:bookmarkEnd w:id="20"/>
    <w:p>
      <w:pPr>
        <w:pStyle w:val="BodyText"/>
      </w:pPr>
      <w:r>
        <w:rPr>
          <w:bCs/>
          <w:b/>
        </w:rPr>
        <w:t xml:space="preserve">Quotation Estimate Date:</w:t>
      </w:r>
      <w:r>
        <w:t xml:space="preserve"> </w:t>
      </w:r>
      <w:r>
        <w:t xml:space="preserve">June 15, 2025</w:t>
      </w:r>
    </w:p>
    <w:p>
      <w:pPr>
        <w:pStyle w:val="BodyText"/>
      </w:pPr>
      <w:r>
        <w:rPr>
          <w:bCs/>
          <w:b/>
        </w:rPr>
        <w:t xml:space="preserve">Valid Until:</w:t>
      </w:r>
      <w:r>
        <w:t xml:space="preserve"> </w:t>
      </w:r>
      <w:r>
        <w:t xml:space="preserve">September 15, 2025</w:t>
      </w:r>
    </w:p>
    <w:p>
      <w:pPr>
        <w:pStyle w:val="BodyText"/>
      </w:pPr>
      <w:r>
        <w:rPr>
          <w:bCs/>
          <w:b/>
        </w:rPr>
        <w:t xml:space="preserve">Location of Service:</w:t>
      </w:r>
      <w:r>
        <w:t xml:space="preserve"> </w:t>
      </w:r>
      <w:r>
        <w:t xml:space="preserve">Germany Frankfurt (Frankfurt am Main, Hesse)</w:t>
      </w:r>
    </w:p>
    <w:p>
      <w:pPr>
        <w:pStyle w:val="BodyText"/>
      </w:pPr>
      <w:r>
        <w:rPr>
          <w:bCs/>
          <w:b/>
        </w:rPr>
        <w:t xml:space="preserve">Prepared By:</w:t>
      </w:r>
      <w:r>
        <w:t xml:space="preserve"> </w:t>
      </w:r>
      <w:r>
        <w:t xml:space="preserve">Dr. Heinrich Vogel, PhD (Physics)</w:t>
      </w:r>
    </w:p>
    <w:p>
      <w:pPr>
        <w:pStyle w:val="BodyText"/>
      </w:pPr>
      <w:r>
        <w:t xml:space="preserve">1. Client &amp; Project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Client Name</w:t>
            </w:r>
          </w:p>
        </w:tc>
        <w:tc>
          <w:tcPr/>
          <w:p>
            <w:pPr>
              <w:pStyle w:val="Compact"/>
              <w:jc w:val="left"/>
            </w:pPr>
            <w:r>
              <w:t xml:space="preserve">Frankfurt Industrial Research Consortium GmbH</w:t>
            </w:r>
          </w:p>
        </w:tc>
      </w:tr>
      <w:tr>
        <w:tc>
          <w:tcPr/>
          <w:p>
            <w:pPr>
              <w:pStyle w:val="Compact"/>
              <w:jc w:val="left"/>
            </w:pPr>
            <w:r>
              <w:t xml:space="preserve">Client Address</w:t>
            </w:r>
          </w:p>
        </w:tc>
        <w:tc>
          <w:tcPr/>
          <w:p>
            <w:pPr>
              <w:pStyle w:val="Compact"/>
              <w:jc w:val="left"/>
            </w:pPr>
            <w:r>
              <w:t xml:space="preserve">Bockenheimer Landstraße 12, 60323 Frankfurt am Main, Germany</w:t>
            </w:r>
          </w:p>
        </w:tc>
      </w:tr>
      <w:tr>
        <w:tc>
          <w:tcPr/>
          <w:p>
            <w:pPr>
              <w:pStyle w:val="Compact"/>
              <w:jc w:val="left"/>
            </w:pPr>
            <w:r>
              <w:t xml:space="preserve">Project Title</w:t>
            </w:r>
          </w:p>
        </w:tc>
        <w:tc>
          <w:tcPr/>
          <w:p>
            <w:pPr>
              <w:pStyle w:val="Compact"/>
              <w:jc w:val="left"/>
            </w:pPr>
            <w:r>
              <w:t xml:space="preserve">Advanced Quantum Systems Analysis &amp; Applied Physics Consulting</w:t>
            </w:r>
          </w:p>
        </w:tc>
      </w:tr>
      <w:tr>
        <w:tc>
          <w:tcPr/>
          <w:p>
            <w:pPr>
              <w:pStyle w:val="Compact"/>
              <w:jc w:val="left"/>
            </w:pPr>
            <w:r>
              <w:t xml:space="preserve">Service Location</w:t>
            </w:r>
          </w:p>
        </w:tc>
        <w:tc>
          <w:tcPr/>
          <w:p>
            <w:pPr>
              <w:pStyle w:val="Compact"/>
              <w:jc w:val="left"/>
            </w:pPr>
            <w:r>
              <w:t xml:space="preserve">Germany Frankfurt – Primary Laboratory, Campus Riedberg, 60320 Frankfurt am Main</w:t>
            </w:r>
          </w:p>
        </w:tc>
      </w:tr>
      <w:tr>
        <w:tc>
          <w:tcPr/>
          <w:p>
            <w:pPr>
              <w:pStyle w:val="Compact"/>
              <w:jc w:val="left"/>
            </w:pPr>
            <w:r>
              <w:t xml:space="preserve">Engagement Type</w:t>
            </w:r>
          </w:p>
        </w:tc>
        <w:tc>
          <w:tcPr/>
          <w:p>
            <w:pPr>
              <w:pStyle w:val="Compact"/>
              <w:jc w:val="left"/>
            </w:pPr>
            <w:r>
              <w:t xml:space="preserve">Full-time Physicist (12-month contract with optional 6-month extension)</w:t>
            </w:r>
          </w:p>
        </w:tc>
      </w:tr>
      <w:tr>
        <w:tc>
          <w:tcPr/>
          <w:p>
            <w:pPr>
              <w:pStyle w:val="Compact"/>
              <w:jc w:val="left"/>
            </w:pPr>
            <w:r>
              <w:t xml:space="preserve">Start Date</w:t>
            </w:r>
          </w:p>
        </w:tc>
        <w:tc>
          <w:tcPr/>
          <w:p>
            <w:pPr>
              <w:pStyle w:val="Compact"/>
              <w:jc w:val="left"/>
            </w:pPr>
            <w:r>
              <w:t xml:space="preserve">October 1, 2025</w:t>
            </w:r>
          </w:p>
        </w:tc>
      </w:tr>
    </w:tbl>
    <w:p>
      <w:pPr>
        <w:pStyle w:val="BodyText"/>
      </w:pPr>
      <w:r>
        <w:t xml:space="preserve">2. Scope of Services – Physicist Role in Germany Frankfurt</w:t>
      </w:r>
    </w:p>
    <w:p>
      <w:pPr>
        <w:pStyle w:val="BodyText"/>
      </w:pPr>
      <w:r>
        <w:t xml:space="preserve">This Quotation Estimate outlines the comprehensive professional services to be rendered by a qualified Physicist engaged for operations within Germany Frankfurt. The Physicist will be responsible for the following core duties and deliverables:</w:t>
      </w:r>
    </w:p>
    <w:p>
      <w:pPr>
        <w:numPr>
          <w:ilvl w:val="0"/>
          <w:numId w:val="1001"/>
        </w:numPr>
        <w:pStyle w:val="Compact"/>
      </w:pPr>
      <w:r>
        <w:t xml:space="preserve">Design, execution, and analysis of experimental physics programs in the fields of quantum optics, condensed matter physics, and applied electromagnetism.</w:t>
      </w:r>
    </w:p>
    <w:p>
      <w:pPr>
        <w:numPr>
          <w:ilvl w:val="0"/>
          <w:numId w:val="1001"/>
        </w:numPr>
        <w:pStyle w:val="Compact"/>
      </w:pPr>
      <w:r>
        <w:t xml:space="preserve">Development of mathematical models and computational simulations to support the client's R&amp;D objectives in Germany Frankfurt.</w:t>
      </w:r>
    </w:p>
    <w:p>
      <w:pPr>
        <w:numPr>
          <w:ilvl w:val="0"/>
          <w:numId w:val="1001"/>
        </w:numPr>
        <w:pStyle w:val="Compact"/>
      </w:pPr>
      <w:r>
        <w:t xml:space="preserve">Supervision of a team of up to four junior research assistants and laboratory technicians stationed at the Frankfurt am Main facility.</w:t>
      </w:r>
    </w:p>
    <w:p>
      <w:pPr>
        <w:numPr>
          <w:ilvl w:val="0"/>
          <w:numId w:val="1001"/>
        </w:numPr>
        <w:pStyle w:val="Compact"/>
      </w:pPr>
      <w:r>
        <w:t xml:space="preserve">Preparation of technical reports, peer-reviewed publications, and patent filings in coordination with the client's legal department.</w:t>
      </w:r>
    </w:p>
    <w:p>
      <w:pPr>
        <w:numPr>
          <w:ilvl w:val="0"/>
          <w:numId w:val="1001"/>
        </w:numPr>
        <w:pStyle w:val="Compact"/>
      </w:pPr>
      <w:r>
        <w:t xml:space="preserve">Collaboration with partner institutions including the Goethe-Universität Frankfurt and the Max Planck Institute for the Structure and Dynamics of Matter.</w:t>
      </w:r>
    </w:p>
    <w:p>
      <w:pPr>
        <w:numPr>
          <w:ilvl w:val="0"/>
          <w:numId w:val="1001"/>
        </w:numPr>
        <w:pStyle w:val="Compact"/>
      </w:pPr>
      <w:r>
        <w:t xml:space="preserve">Compliance with all German Federal Ministry of Education and Research (BMBF) regulations and EU research data protection standards (GDPR).</w:t>
      </w:r>
    </w:p>
    <w:p>
      <w:pPr>
        <w:numPr>
          <w:ilvl w:val="0"/>
          <w:numId w:val="1001"/>
        </w:numPr>
        <w:pStyle w:val="Compact"/>
      </w:pPr>
      <w:r>
        <w:t xml:space="preserve">Monthly progress presentations to the client's executive board in Germany Frankfurt.</w:t>
      </w:r>
    </w:p>
    <w:p>
      <w:pPr>
        <w:pStyle w:val="FirstParagraph"/>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Duration / Qty</w:t>
            </w:r>
          </w:p>
        </w:tc>
        <w:tc>
          <w:tcPr/>
          <w:p>
            <w:pPr>
              <w:pStyle w:val="Compact"/>
              <w:jc w:val="left"/>
            </w:pPr>
            <w:r>
              <w:t xml:space="preserve">Unit Rate (EUR)</w:t>
            </w:r>
          </w:p>
        </w:tc>
        <w:tc>
          <w:tcPr/>
          <w:p>
            <w:pPr>
              <w:pStyle w:val="Compact"/>
              <w:jc w:val="left"/>
            </w:pPr>
            <w:r>
              <w:t xml:space="preserve">Subtotal (EUR)</w:t>
            </w:r>
          </w:p>
        </w:tc>
      </w:tr>
      <w:tr>
        <w:tc>
          <w:tcPr/>
          <w:p>
            <w:pPr>
              <w:pStyle w:val="Compact"/>
              <w:jc w:val="left"/>
            </w:pPr>
            <w:r>
              <w:t xml:space="preserve">01</w:t>
            </w:r>
          </w:p>
        </w:tc>
        <w:tc>
          <w:tcPr/>
          <w:p>
            <w:pPr>
              <w:pStyle w:val="Compact"/>
              <w:jc w:val="left"/>
            </w:pPr>
            <w:r>
              <w:t xml:space="preserve">Senior Physicist – Monthly Professional Fee (includes on-site presence in Germany Frankfurt, 40 hrs/week)</w:t>
            </w:r>
          </w:p>
        </w:tc>
        <w:tc>
          <w:tcPr/>
          <w:p>
            <w:pPr>
              <w:pStyle w:val="Compact"/>
              <w:jc w:val="left"/>
            </w:pPr>
            <w:r>
              <w:t xml:space="preserve">12 months</w:t>
            </w:r>
          </w:p>
        </w:tc>
        <w:tc>
          <w:tcPr/>
          <w:p>
            <w:pPr>
              <w:pStyle w:val="Compact"/>
              <w:jc w:val="left"/>
            </w:pPr>
            <w:r>
              <w:t xml:space="preserve">12,500.00</w:t>
            </w:r>
          </w:p>
        </w:tc>
        <w:tc>
          <w:tcPr/>
          <w:p>
            <w:pPr>
              <w:pStyle w:val="Compact"/>
              <w:jc w:val="left"/>
            </w:pPr>
            <w:r>
              <w:t xml:space="preserve">150,000.00</w:t>
            </w:r>
          </w:p>
        </w:tc>
      </w:tr>
      <w:tr>
        <w:tc>
          <w:tcPr/>
          <w:p>
            <w:pPr>
              <w:pStyle w:val="Compact"/>
              <w:jc w:val="left"/>
            </w:pPr>
            <w:r>
              <w:t xml:space="preserve">02</w:t>
            </w:r>
          </w:p>
        </w:tc>
        <w:tc>
          <w:tcPr/>
          <w:p>
            <w:pPr>
              <w:pStyle w:val="Compact"/>
              <w:jc w:val="left"/>
            </w:pPr>
            <w:r>
              <w:t xml:space="preserve">Laboratory Equipment Calibration &amp; Maintenance Oversight</w:t>
            </w:r>
          </w:p>
        </w:tc>
        <w:tc>
          <w:tcPr/>
          <w:p>
            <w:pPr>
              <w:pStyle w:val="Compact"/>
              <w:jc w:val="left"/>
            </w:pPr>
            <w:r>
              <w:t xml:space="preserve">12 months</w:t>
            </w:r>
          </w:p>
        </w:tc>
        <w:tc>
          <w:tcPr/>
          <w:p>
            <w:pPr>
              <w:pStyle w:val="Compact"/>
              <w:jc w:val="left"/>
            </w:pPr>
            <w:r>
              <w:t xml:space="preserve">3,200.00</w:t>
            </w:r>
          </w:p>
        </w:tc>
        <w:tc>
          <w:tcPr/>
          <w:p>
            <w:pPr>
              <w:pStyle w:val="Compact"/>
              <w:jc w:val="left"/>
            </w:pPr>
            <w:r>
              <w:t xml:space="preserve">38,400.00</w:t>
            </w:r>
          </w:p>
        </w:tc>
      </w:tr>
      <w:tr>
        <w:tc>
          <w:tcPr/>
          <w:p>
            <w:pPr>
              <w:pStyle w:val="Compact"/>
              <w:jc w:val="left"/>
            </w:pPr>
            <w:r>
              <w:t xml:space="preserve">03</w:t>
            </w:r>
          </w:p>
        </w:tc>
        <w:tc>
          <w:tcPr/>
          <w:p>
            <w:pPr>
              <w:pStyle w:val="Compact"/>
              <w:jc w:val="left"/>
            </w:pPr>
            <w:r>
              <w:t xml:space="preserve">Computational Simulation Software Licensing (MATLAB, COMSOL, Quantum Espresso)</w:t>
            </w:r>
          </w:p>
        </w:tc>
        <w:tc>
          <w:tcPr/>
          <w:p>
            <w:pPr>
              <w:pStyle w:val="Compact"/>
              <w:jc w:val="left"/>
            </w:pPr>
            <w:r>
              <w:t xml:space="preserve">12 months</w:t>
            </w:r>
          </w:p>
        </w:tc>
        <w:tc>
          <w:tcPr/>
          <w:p>
            <w:pPr>
              <w:pStyle w:val="Compact"/>
              <w:jc w:val="left"/>
            </w:pPr>
            <w:r>
              <w:t xml:space="preserve">1,850.00</w:t>
            </w:r>
          </w:p>
        </w:tc>
        <w:tc>
          <w:tcPr/>
          <w:p>
            <w:pPr>
              <w:pStyle w:val="Compact"/>
              <w:jc w:val="left"/>
            </w:pPr>
            <w:r>
              <w:t xml:space="preserve">22,200.00</w:t>
            </w:r>
          </w:p>
        </w:tc>
      </w:tr>
      <w:tr>
        <w:tc>
          <w:tcPr/>
          <w:p>
            <w:pPr>
              <w:pStyle w:val="Compact"/>
              <w:jc w:val="left"/>
            </w:pPr>
            <w:r>
              <w:t xml:space="preserve">04</w:t>
            </w:r>
          </w:p>
        </w:tc>
        <w:tc>
          <w:tcPr/>
          <w:p>
            <w:pPr>
              <w:pStyle w:val="Compact"/>
              <w:jc w:val="left"/>
            </w:pPr>
            <w:r>
              <w:t xml:space="preserve">Travel &amp; Local Transportation within Germany Frankfurt (Frankfurt Airport, S-Bahn, local transit)</w:t>
            </w:r>
          </w:p>
        </w:tc>
        <w:tc>
          <w:tcPr/>
          <w:p>
            <w:pPr>
              <w:pStyle w:val="Compact"/>
              <w:jc w:val="left"/>
            </w:pPr>
            <w:r>
              <w:t xml:space="preserve">12 months</w:t>
            </w:r>
          </w:p>
        </w:tc>
        <w:tc>
          <w:tcPr/>
          <w:p>
            <w:pPr>
              <w:pStyle w:val="Compact"/>
              <w:jc w:val="left"/>
            </w:pPr>
            <w:r>
              <w:t xml:space="preserve">450.00</w:t>
            </w:r>
          </w:p>
        </w:tc>
        <w:tc>
          <w:tcPr/>
          <w:p>
            <w:pPr>
              <w:pStyle w:val="Compact"/>
              <w:jc w:val="left"/>
            </w:pPr>
            <w:r>
              <w:t xml:space="preserve">5,400.00</w:t>
            </w:r>
          </w:p>
        </w:tc>
      </w:tr>
      <w:tr>
        <w:tc>
          <w:tcPr/>
          <w:p>
            <w:pPr>
              <w:pStyle w:val="Compact"/>
              <w:jc w:val="left"/>
            </w:pPr>
            <w:r>
              <w:t xml:space="preserve">05</w:t>
            </w:r>
          </w:p>
        </w:tc>
        <w:tc>
          <w:tcPr/>
          <w:p>
            <w:pPr>
              <w:pStyle w:val="Compact"/>
              <w:jc w:val="left"/>
            </w:pPr>
            <w:r>
              <w:t xml:space="preserve">Conference Attendance &amp; Academic Networking (e.g., APS March Meeting, DPG Annual Conference in Frankfurt)</w:t>
            </w:r>
          </w:p>
        </w:tc>
        <w:tc>
          <w:tcPr/>
          <w:p>
            <w:pPr>
              <w:pStyle w:val="Compact"/>
              <w:jc w:val="left"/>
            </w:pPr>
            <w:r>
              <w:t xml:space="preserve">3 events</w:t>
            </w:r>
          </w:p>
        </w:tc>
        <w:tc>
          <w:tcPr/>
          <w:p>
            <w:pPr>
              <w:pStyle w:val="Compact"/>
              <w:jc w:val="left"/>
            </w:pPr>
            <w:r>
              <w:t xml:space="preserve">2,800.00</w:t>
            </w:r>
          </w:p>
        </w:tc>
        <w:tc>
          <w:tcPr/>
          <w:p>
            <w:pPr>
              <w:pStyle w:val="Compact"/>
              <w:jc w:val="left"/>
            </w:pPr>
            <w:r>
              <w:t xml:space="preserve">8,400.00</w:t>
            </w:r>
          </w:p>
        </w:tc>
      </w:tr>
      <w:tr>
        <w:tc>
          <w:tcPr/>
          <w:p>
            <w:pPr>
              <w:pStyle w:val="Compact"/>
              <w:jc w:val="left"/>
            </w:pPr>
            <w:r>
              <w:t xml:space="preserve">06</w:t>
            </w:r>
          </w:p>
        </w:tc>
        <w:tc>
          <w:tcPr/>
          <w:p>
            <w:pPr>
              <w:pStyle w:val="Compact"/>
              <w:jc w:val="left"/>
            </w:pPr>
            <w:r>
              <w:t xml:space="preserve">Publication &amp; Patent Filing Support (German Patent and Trade Mark Office – DPMA)</w:t>
            </w:r>
          </w:p>
        </w:tc>
        <w:tc>
          <w:tcPr/>
          <w:p>
            <w:pPr>
              <w:pStyle w:val="Compact"/>
              <w:jc w:val="left"/>
            </w:pPr>
            <w:r>
              <w:t xml:space="preserve">4 filings</w:t>
            </w:r>
          </w:p>
        </w:tc>
        <w:tc>
          <w:tcPr/>
          <w:p>
            <w:pPr>
              <w:pStyle w:val="Compact"/>
              <w:jc w:val="left"/>
            </w:pPr>
            <w:r>
              <w:t xml:space="preserve">1,500.00</w:t>
            </w:r>
          </w:p>
        </w:tc>
        <w:tc>
          <w:tcPr/>
          <w:p>
            <w:pPr>
              <w:pStyle w:val="Compact"/>
              <w:jc w:val="left"/>
            </w:pPr>
            <w:r>
              <w:t xml:space="preserve">6,000.00</w:t>
            </w:r>
          </w:p>
        </w:tc>
      </w:tr>
      <w:tr>
        <w:tc>
          <w:tcPr/>
          <w:p>
            <w:pPr>
              <w:pStyle w:val="Compact"/>
              <w:jc w:val="left"/>
            </w:pPr>
            <w:r>
              <w:t xml:space="preserve">07</w:t>
            </w:r>
          </w:p>
        </w:tc>
        <w:tc>
          <w:tcPr/>
          <w:p>
            <w:pPr>
              <w:pStyle w:val="Compact"/>
              <w:jc w:val="left"/>
            </w:pPr>
            <w:r>
              <w:t xml:space="preserve">Administrative &amp; Compliance Reporting (German tax, social security, and research grant reporting)</w:t>
            </w:r>
          </w:p>
        </w:tc>
        <w:tc>
          <w:tcPr/>
          <w:p>
            <w:pPr>
              <w:pStyle w:val="Compact"/>
              <w:jc w:val="left"/>
            </w:pPr>
            <w:r>
              <w:t xml:space="preserve">12 months</w:t>
            </w:r>
          </w:p>
        </w:tc>
        <w:tc>
          <w:tcPr/>
          <w:p>
            <w:pPr>
              <w:pStyle w:val="Compact"/>
              <w:jc w:val="left"/>
            </w:pPr>
            <w:r>
              <w:t xml:space="preserve">950.00</w:t>
            </w:r>
          </w:p>
        </w:tc>
        <w:tc>
          <w:tcPr/>
          <w:p>
            <w:pPr>
              <w:pStyle w:val="Compact"/>
              <w:jc w:val="left"/>
            </w:pPr>
            <w:r>
              <w:t xml:space="preserve">11,400.00</w:t>
            </w:r>
          </w:p>
        </w:tc>
      </w:tr>
      <w:tr>
        <w:tc>
          <w:tcPr/>
          <w:p>
            <w:pPr>
              <w:pStyle w:val="Compact"/>
              <w:jc w:val="left"/>
            </w:pPr>
            <w:r>
              <w:t xml:space="preserve">08</w:t>
            </w:r>
          </w:p>
        </w:tc>
        <w:tc>
          <w:tcPr/>
          <w:p>
            <w:pPr>
              <w:pStyle w:val="Compact"/>
              <w:jc w:val="left"/>
            </w:pPr>
            <w:r>
              <w:t xml:space="preserve">Contingency &amp; Miscellaneous (unforeseen experimental materials, emergency equipment repair)</w:t>
            </w:r>
          </w:p>
        </w:tc>
        <w:tc>
          <w:tcPr/>
          <w:p>
            <w:pPr>
              <w:pStyle w:val="Compact"/>
              <w:jc w:val="left"/>
            </w:pPr>
            <w:r>
              <w:t xml:space="preserve">12 months</w:t>
            </w:r>
          </w:p>
        </w:tc>
        <w:tc>
          <w:tcPr/>
          <w:p>
            <w:pPr>
              <w:pStyle w:val="Compact"/>
              <w:jc w:val="left"/>
            </w:pPr>
            <w:r>
              <w:t xml:space="preserve">1,200.00</w:t>
            </w:r>
          </w:p>
        </w:tc>
        <w:tc>
          <w:tcPr/>
          <w:p>
            <w:pPr>
              <w:pStyle w:val="Compact"/>
              <w:jc w:val="left"/>
            </w:pPr>
            <w:r>
              <w:t xml:space="preserve">14,400.00</w:t>
            </w:r>
          </w:p>
        </w:tc>
      </w:tr>
      <w:tr>
        <w:tc>
          <w:tcPr>
            <w:gridSpan w:val="4"/>
          </w:tcPr>
          <w:p>
            <w:pPr>
              <w:pStyle w:val="Compact"/>
              <w:jc w:val="left"/>
            </w:pPr>
            <w:r>
              <w:t xml:space="preserve">Subtotal (before VAT)</w:t>
            </w:r>
          </w:p>
        </w:tc>
        <w:tc>
          <w:tcPr/>
          <w:p>
            <w:pPr>
              <w:pStyle w:val="Compact"/>
              <w:jc w:val="left"/>
            </w:pPr>
            <w:r>
              <w:t xml:space="preserve">256,200.00</w:t>
            </w:r>
          </w:p>
        </w:tc>
      </w:tr>
      <w:tr>
        <w:tc>
          <w:tcPr>
            <w:gridSpan w:val="4"/>
          </w:tcPr>
          <w:p>
            <w:pPr>
              <w:pStyle w:val="Compact"/>
              <w:jc w:val="left"/>
            </w:pPr>
            <w:r>
              <w:t xml:space="preserve">VAT (Mehrwertsteuer) – 19% (German standard rate)</w:t>
            </w:r>
          </w:p>
        </w:tc>
        <w:tc>
          <w:tcPr/>
          <w:p>
            <w:pPr>
              <w:pStyle w:val="Compact"/>
              <w:jc w:val="left"/>
            </w:pPr>
            <w:r>
              <w:t xml:space="preserve">48,678.00</w:t>
            </w:r>
          </w:p>
        </w:tc>
      </w:tr>
      <w:tr>
        <w:tc>
          <w:tcPr>
            <w:gridSpan w:val="4"/>
          </w:tcPr>
          <w:p>
            <w:pPr>
              <w:pStyle w:val="Compact"/>
              <w:jc w:val="left"/>
            </w:pPr>
            <w:r>
              <w:t xml:space="preserve">TOTAL ESTIMATED COST (EUR)</w:t>
            </w:r>
          </w:p>
        </w:tc>
        <w:tc>
          <w:tcPr/>
          <w:p>
            <w:pPr>
              <w:pStyle w:val="Compact"/>
              <w:jc w:val="left"/>
            </w:pPr>
            <w:r>
              <w:t xml:space="preserve">304,878.00</w:t>
            </w:r>
          </w:p>
        </w:tc>
      </w:tr>
    </w:tbl>
    <w:p>
      <w:pPr>
        <w:pStyle w:val="BodyText"/>
      </w:pPr>
      <w:r>
        <w:t xml:space="preserve">4. Payment Terms</w:t>
      </w:r>
    </w:p>
    <w:p>
      <w:pPr>
        <w:pStyle w:val="BodyText"/>
      </w:pPr>
      <w:r>
        <w:t xml:space="preserve">Payment for this Quotation Estimate shall be structured as follows: an initial deposit of 20% (EUR 60,975.60) due upon contract signature; monthly invoices issued on the 1st of each calendar month, payable within 30 days via SEPA bank transfer to the account designated in Germany Frankfurt. Late payments shall incur interest at the statutory German rate (Basiszinssatz + 5 percentage points for business transactions) as per § 288 of the German Civil Code (BGB).</w:t>
      </w:r>
    </w:p>
    <w:p>
      <w:pPr>
        <w:pStyle w:val="BodyText"/>
      </w:pPr>
      <w:r>
        <w:t xml:space="preserve">5. Terms &amp; Conditions</w:t>
      </w:r>
    </w:p>
    <w:p>
      <w:pPr>
        <w:numPr>
          <w:ilvl w:val="0"/>
          <w:numId w:val="1002"/>
        </w:numPr>
        <w:pStyle w:val="Compact"/>
      </w:pPr>
      <w:r>
        <w:rPr>
          <w:bCs/>
          <w:b/>
        </w:rPr>
        <w:t xml:space="preserve">Validity:</w:t>
      </w:r>
      <w:r>
        <w:t xml:space="preserve"> </w:t>
      </w:r>
      <w:r>
        <w:t xml:space="preserve">This Quotation Estimate is valid for a period of 90 calendar days from the date of issue. After this period, all rates and terms are subject to revision.</w:t>
      </w:r>
    </w:p>
    <w:p>
      <w:pPr>
        <w:numPr>
          <w:ilvl w:val="0"/>
          <w:numId w:val="1002"/>
        </w:numPr>
        <w:pStyle w:val="Compact"/>
      </w:pPr>
      <w:r>
        <w:rPr>
          <w:bCs/>
          <w:b/>
        </w:rPr>
        <w:t xml:space="preserve">Termination:</w:t>
      </w:r>
      <w:r>
        <w:t xml:space="preserve"> </w:t>
      </w:r>
      <w:r>
        <w:t xml:space="preserve">Either party may terminate the engagement with 60 days' written notice. In the event of early termination, a pro-rata charge for services rendered plus a 10% administrative fee will apply.</w:t>
      </w:r>
    </w:p>
    <w:p>
      <w:pPr>
        <w:numPr>
          <w:ilvl w:val="0"/>
          <w:numId w:val="1002"/>
        </w:numPr>
        <w:pStyle w:val="Compact"/>
      </w:pPr>
      <w:r>
        <w:rPr>
          <w:bCs/>
          <w:b/>
        </w:rPr>
        <w:t xml:space="preserve">Intellectual Property:</w:t>
      </w:r>
      <w:r>
        <w:t xml:space="preserve"> </w:t>
      </w:r>
      <w:r>
        <w:t xml:space="preserve">All research outputs, data, and inventions generated by the Physicist during the engagement in Germany Frankfurt shall be jointly owned by the client and the Physicist, as stipulated in a separate IP agreement.</w:t>
      </w:r>
    </w:p>
    <w:p>
      <w:pPr>
        <w:numPr>
          <w:ilvl w:val="0"/>
          <w:numId w:val="1002"/>
        </w:numPr>
        <w:pStyle w:val="Compact"/>
      </w:pPr>
      <w:r>
        <w:rPr>
          <w:bCs/>
          <w:b/>
        </w:rPr>
        <w:t xml:space="preserve">Confidentiality:</w:t>
      </w:r>
      <w:r>
        <w:t xml:space="preserve"> </w:t>
      </w:r>
      <w:r>
        <w:t xml:space="preserve">The Physicist agrees to maintain strict confidentiality in accordance with German trade secret law (Geschäftsgeheimnisgesetz – GeschGehG) and the EU Trade Secrets Directive.</w:t>
      </w:r>
    </w:p>
    <w:p>
      <w:pPr>
        <w:numPr>
          <w:ilvl w:val="0"/>
          <w:numId w:val="1002"/>
        </w:numPr>
        <w:pStyle w:val="Compact"/>
      </w:pPr>
      <w:r>
        <w:rPr>
          <w:bCs/>
          <w:b/>
        </w:rPr>
        <w:t xml:space="preserve">Governing Law:</w:t>
      </w:r>
      <w:r>
        <w:t xml:space="preserve"> </w:t>
      </w:r>
      <w:r>
        <w:t xml:space="preserve">This Quotation Estimate and the resulting contract shall be governed by the laws of the Federal Republic of Germany. Disputes shall be resolved by the competent courts in Frankfurt am Main, Hesse.</w:t>
      </w:r>
    </w:p>
    <w:p>
      <w:pPr>
        <w:numPr>
          <w:ilvl w:val="0"/>
          <w:numId w:val="1002"/>
        </w:numPr>
        <w:pStyle w:val="Compact"/>
      </w:pPr>
      <w:r>
        <w:rPr>
          <w:bCs/>
          <w:b/>
        </w:rPr>
        <w:t xml:space="preserve">Insurance:</w:t>
      </w:r>
      <w:r>
        <w:t xml:space="preserve"> </w:t>
      </w:r>
      <w:r>
        <w:t xml:space="preserve">The Physicist shall maintain professional liability insurance (Berufshaftpflichtversicherung) with a minimum coverage of EUR 1,000,000 per claim, valid throughout the service period in Germany Frankfurt.</w:t>
      </w:r>
    </w:p>
    <w:p>
      <w:pPr>
        <w:numPr>
          <w:ilvl w:val="0"/>
          <w:numId w:val="1002"/>
        </w:numPr>
        <w:pStyle w:val="Compact"/>
      </w:pPr>
      <w:r>
        <w:rPr>
          <w:bCs/>
          <w:b/>
        </w:rPr>
        <w:t xml:space="preserve">Force Majeure:</w:t>
      </w:r>
      <w:r>
        <w:t xml:space="preserve"> </w:t>
      </w:r>
      <w:r>
        <w:t xml:space="preserve">Neither party shall be liable for delays or failures in performance resulting from events beyond reasonable control, including but not limited to natural disasters, pandemics, or government-mandated closures in Germany Frankfurt.</w:t>
      </w:r>
    </w:p>
    <w:p>
      <w:pPr>
        <w:pStyle w:val="FirstParagraph"/>
      </w:pPr>
      <w:r>
        <w:rPr>
          <w:bCs/>
          <w:b/>
        </w:rPr>
        <w:t xml:space="preserve">Note:</w:t>
      </w:r>
      <w:r>
        <w:t xml:space="preserve"> </w:t>
      </w:r>
      <w:r>
        <w:t xml:space="preserve">This Quotation Estimate is a non-binding preliminary document. A formal contract (Vertrag) must be executed by both parties before any services commence. All figures are quoted in Euro (EUR) and are inclusive of applicable German social security contributions for the Physicist. The client is advised to verify all regulatory requirements with the local Gewerbeamt (Trade Office) in Frankfurt am Main prior to commencement.</w:t>
      </w:r>
    </w:p>
    <w:p>
      <w:pPr>
        <w:pStyle w:val="BodyText"/>
      </w:pPr>
      <w:r>
        <w:t xml:space="preserve">6. Acceptance &amp; Authorization</w:t>
      </w:r>
    </w:p>
    <w:p>
      <w:pPr>
        <w:pStyle w:val="BodyText"/>
      </w:pPr>
      <w:r>
        <w:t xml:space="preserve">By signing below, the client acknowledges receipt of this Quotation Estimate for Physicist services in Germany Frankfurt and agrees to the terms, conditions, and cost structure outlined herein.</w:t>
      </w:r>
    </w:p>
    <w:p>
      <w:pPr>
        <w:pStyle w:val="BodyText"/>
      </w:pPr>
      <w:r>
        <w:rPr>
          <w:bCs/>
          <w:b/>
        </w:rPr>
        <w:t xml:space="preserve">Prepared By:</w:t>
      </w:r>
      <w:r>
        <w:br/>
      </w:r>
      <w:r>
        <w:t xml:space="preserve">Dr. Heinrich Vogel, PhD</w:t>
      </w:r>
      <w:r>
        <w:br/>
      </w:r>
      <w:r>
        <w:t xml:space="preserve">Senior Physicist &amp; Consultant</w:t>
      </w:r>
      <w:r>
        <w:br/>
      </w:r>
      <w:r>
        <w:t xml:space="preserve">Frankfurt am Main, Germany</w:t>
      </w:r>
    </w:p>
    <w:p>
      <w:pPr>
        <w:pStyle w:val="BodyText"/>
      </w:pPr>
      <w:r>
        <w:rPr>
          <w:bCs/>
          <w:b/>
        </w:rPr>
        <w:t xml:space="preserve">Accepted By (Client):</w:t>
      </w:r>
      <w:r>
        <w:br/>
      </w:r>
      <w:r>
        <w:t xml:space="preserve">Authorized Representative</w:t>
      </w:r>
      <w:r>
        <w:br/>
      </w:r>
      <w:r>
        <w:t xml:space="preserve">Frankfurt Industrial Research Consortium GmbH</w:t>
      </w:r>
      <w:r>
        <w:br/>
      </w:r>
      <w:r>
        <w:t xml:space="preserve">Date: _______________</w:t>
      </w:r>
    </w:p>
    <w:p>
      <w:pPr>
        <w:pStyle w:val="BodyText"/>
      </w:pPr>
      <w:r>
        <w:t xml:space="preserve">Quotation Estimate QE-PHY-FRA-2025-0047 | Physicist Services | Germany Frankfurt | Page 1 of 1</w:t>
      </w:r>
      <w:r>
        <w:br/>
      </w:r>
      <w:r>
        <w:t xml:space="preserve">This document is electronically generated and does not require a physical signature for validity under § 126a BGB.</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Physicist Services - Germany Frankfurt</dc:title>
  <dc:creator/>
  <dc:language>en</dc:language>
  <cp:keywords/>
  <dcterms:created xsi:type="dcterms:W3CDTF">2026-10-10T03:32:14Z</dcterms:created>
  <dcterms:modified xsi:type="dcterms:W3CDTF">2026-10-10T03:32:14Z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