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Physicist Consulting &amp; Research Services</w:t>
      </w:r>
    </w:p>
    <w:p>
      <w:pPr>
        <w:pStyle w:val="BodyText"/>
      </w:pPr>
      <w:r>
        <w:t xml:space="preserve">Prepared for use in Iran Tehran | Document Ref: QE-IRN-TEH-2025-0417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QE-IRN-TEH-2025-0417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Iranian Rial (IRR) / USD equivalent</w:t>
            </w:r>
          </w:p>
        </w:tc>
      </w:tr>
      <w:tr>
        <w:tc>
          <w:tcPr/>
          <w:p>
            <w:pPr>
              <w:pStyle w:val="Compact"/>
              <w:jc w:val="left"/>
            </w:pPr>
            <w:r>
              <w:t xml:space="preserve">Service Location</w:t>
            </w:r>
          </w:p>
        </w:tc>
        <w:tc>
          <w:tcPr>
            <w:gridSpan w:val="3"/>
          </w:tcPr>
          <w:p>
            <w:pPr>
              <w:pStyle w:val="Compact"/>
              <w:jc w:val="left"/>
            </w:pPr>
            <w:r>
              <w:t xml:space="preserve">Iran Tehran, Golestan Street, Valiasr District, Tehran Province, Islamic Republic of Iran</w:t>
            </w:r>
          </w:p>
        </w:tc>
      </w:tr>
      <w:tr>
        <w:tc>
          <w:tcPr/>
          <w:p>
            <w:pPr>
              <w:pStyle w:val="Compact"/>
              <w:jc w:val="left"/>
            </w:pPr>
            <w:r>
              <w:t xml:space="preserve">Prepared By</w:t>
            </w:r>
          </w:p>
        </w:tc>
        <w:tc>
          <w:tcPr/>
          <w:p>
            <w:pPr>
              <w:pStyle w:val="Compact"/>
              <w:jc w:val="left"/>
            </w:pPr>
            <w:r>
              <w:t xml:space="preserve">Dr. S. Ahmadi, Lead Physicist</w:t>
            </w:r>
          </w:p>
        </w:tc>
        <w:tc>
          <w:tcPr/>
          <w:p>
            <w:pPr>
              <w:pStyle w:val="Compact"/>
              <w:jc w:val="left"/>
            </w:pPr>
            <w:r>
              <w:t xml:space="preserve">Client</w:t>
            </w:r>
          </w:p>
        </w:tc>
        <w:tc>
          <w:tcPr/>
          <w:p>
            <w:pPr>
              <w:pStyle w:val="Compact"/>
              <w:jc w:val="left"/>
            </w:pPr>
            <w:r>
              <w:t xml:space="preserve">Tehran University of Technology – Department of Applied Physics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 qualified</w:t>
      </w:r>
      <w:r>
        <w:t xml:space="preserve"> </w:t>
      </w:r>
      <w:r>
        <w:t xml:space="preserve">Physicist</w:t>
      </w:r>
      <w:r>
        <w:t xml:space="preserve"> </w:t>
      </w:r>
      <w:r>
        <w:t xml:space="preserve">to deliver specialized research, analytical, and consulting services within the metropolitan area of</w:t>
      </w:r>
      <w:r>
        <w:t xml:space="preserve"> </w:t>
      </w:r>
      <w:r>
        <w:t xml:space="preserve">Iran Tehran</w:t>
      </w:r>
      <w:r>
        <w:t xml:space="preserve">. The scope of work outlined herein is designed to meet the specific technical requirements of the client institution and to ensure full compliance with the regulatory and academic standards governing scientific practice in the Islamic Republic of Iran.</w:t>
      </w:r>
    </w:p>
    <w:p>
      <w:pPr>
        <w:pStyle w:val="BodyText"/>
      </w:pPr>
      <w:r>
        <w:t xml:space="preserve">All pricing, deliverables, and timelines presented in this</w:t>
      </w:r>
      <w:r>
        <w:t xml:space="preserve"> </w:t>
      </w:r>
      <w:r>
        <w:t xml:space="preserve">Quotation Estimate</w:t>
      </w:r>
      <w:r>
        <w:t xml:space="preserve"> </w:t>
      </w:r>
      <w:r>
        <w:t xml:space="preserve">are based on current market rates for</w:t>
      </w:r>
      <w:r>
        <w:t xml:space="preserve"> </w:t>
      </w:r>
      <w:r>
        <w:t xml:space="preserve">Physicist</w:t>
      </w:r>
      <w:r>
        <w:t xml:space="preserve"> </w:t>
      </w:r>
      <w:r>
        <w:t xml:space="preserve">professionals operating in</w:t>
      </w:r>
      <w:r>
        <w:t xml:space="preserve"> </w:t>
      </w:r>
      <w:r>
        <w:t xml:space="preserve">Iran Tehran</w:t>
      </w:r>
      <w:r>
        <w:t xml:space="preserve">, taking into account local cost-of-living adjustments, institutional overheads, and the specialized nature of the physics disciplines involved.</w:t>
      </w:r>
    </w:p>
    <w:bookmarkEnd w:id="21"/>
    <w:bookmarkStart w:id="22" w:name="X0ee714e46449911780330dd37696167f781cf73"/>
    <w:p>
      <w:pPr>
        <w:pStyle w:val="Heading2"/>
      </w:pPr>
      <w:r>
        <w:t xml:space="preserve">2. Scope of Work – Physicist Services in Iran Tehran</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perform the following duties and deliverables at the designated facility in</w:t>
      </w:r>
      <w:r>
        <w:t xml:space="preserve"> </w:t>
      </w:r>
      <w:r>
        <w:t xml:space="preserve">Iran Tehran</w:t>
      </w:r>
      <w:r>
        <w:t xml:space="preserve">:</w:t>
      </w:r>
    </w:p>
    <w:p>
      <w:pPr>
        <w:numPr>
          <w:ilvl w:val="0"/>
          <w:numId w:val="1001"/>
        </w:numPr>
        <w:pStyle w:val="Compact"/>
      </w:pPr>
      <w:r>
        <w:rPr>
          <w:bCs/>
          <w:b/>
        </w:rPr>
        <w:t xml:space="preserve">Quantum Mechanics Research Support:</w:t>
      </w:r>
      <w:r>
        <w:t xml:space="preserve"> </w:t>
      </w:r>
      <w:r>
        <w:t xml:space="preserve">The</w:t>
      </w:r>
      <w:r>
        <w:t xml:space="preserve"> </w:t>
      </w:r>
      <w:r>
        <w:t xml:space="preserve">Physicist</w:t>
      </w:r>
      <w:r>
        <w:t xml:space="preserve"> </w:t>
      </w:r>
      <w:r>
        <w:t xml:space="preserve">shall conduct advanced theoretical modeling and computational simulations related to quantum entanglement and superposition states, utilizing laboratory equipment available at the Tehran-based research facility.</w:t>
      </w:r>
    </w:p>
    <w:p>
      <w:pPr>
        <w:numPr>
          <w:ilvl w:val="0"/>
          <w:numId w:val="1001"/>
        </w:numPr>
        <w:pStyle w:val="Compact"/>
      </w:pPr>
      <w:r>
        <w:rPr>
          <w:bCs/>
          <w:b/>
        </w:rPr>
        <w:t xml:space="preserve">Experimental Physics Oversight:</w:t>
      </w:r>
      <w:r>
        <w:t xml:space="preserve"> </w:t>
      </w:r>
      <w:r>
        <w:t xml:space="preserve">Supervision and execution of particle detection experiments, including calibration of Geiger-Müller counters, scintillation detectors, and cloud chambers housed in the</w:t>
      </w:r>
      <w:r>
        <w:t xml:space="preserve"> </w:t>
      </w:r>
      <w:r>
        <w:t xml:space="preserve">Iran Tehran</w:t>
      </w:r>
      <w:r>
        <w:t xml:space="preserve"> </w:t>
      </w:r>
      <w:r>
        <w:t xml:space="preserve">laboratory complex.</w:t>
      </w:r>
    </w:p>
    <w:p>
      <w:pPr>
        <w:numPr>
          <w:ilvl w:val="0"/>
          <w:numId w:val="1001"/>
        </w:numPr>
        <w:pStyle w:val="Compact"/>
      </w:pPr>
      <w:r>
        <w:rPr>
          <w:bCs/>
          <w:b/>
        </w:rPr>
        <w:t xml:space="preserve">Thermodynamics &amp; Statistical Mechanics Analysis:</w:t>
      </w:r>
      <w:r>
        <w:t xml:space="preserve"> </w:t>
      </w:r>
      <w:r>
        <w:t xml:space="preserve">Preparation of detailed thermodynamic cycle analyses for industrial applications, with findings to be submitted as peer-reviewed reports to the client's academic board in</w:t>
      </w:r>
      <w:r>
        <w:t xml:space="preserve"> </w:t>
      </w:r>
      <w:r>
        <w:t xml:space="preserve">Iran Tehran</w:t>
      </w:r>
      <w:r>
        <w:t xml:space="preserve">.</w:t>
      </w:r>
    </w:p>
    <w:p>
      <w:pPr>
        <w:numPr>
          <w:ilvl w:val="0"/>
          <w:numId w:val="1001"/>
        </w:numPr>
        <w:pStyle w:val="Compact"/>
      </w:pPr>
      <w:r>
        <w:rPr>
          <w:bCs/>
          <w:b/>
        </w:rPr>
        <w:t xml:space="preserve">Academic Mentoring &amp; Lecturing:</w:t>
      </w:r>
      <w:r>
        <w:t xml:space="preserve"> </w:t>
      </w:r>
      <w:r>
        <w:t xml:space="preserve">Delivery of a minimum of twelve (12) weekly seminars on advanced physics topics to graduate students at the client institution, conducted in both English and Persian (Farsi) to accommodate the diverse academic community in</w:t>
      </w:r>
      <w:r>
        <w:t xml:space="preserve"> </w:t>
      </w:r>
      <w:r>
        <w:t xml:space="preserve">Iran Tehran</w:t>
      </w:r>
      <w:r>
        <w:t xml:space="preserve">.</w:t>
      </w:r>
    </w:p>
    <w:p>
      <w:pPr>
        <w:numPr>
          <w:ilvl w:val="0"/>
          <w:numId w:val="1001"/>
        </w:numPr>
        <w:pStyle w:val="Compact"/>
      </w:pPr>
      <w:r>
        <w:rPr>
          <w:bCs/>
          <w:b/>
        </w:rPr>
        <w:t xml:space="preserve">Grant Proposal Development:</w:t>
      </w:r>
      <w:r>
        <w:t xml:space="preserve"> </w:t>
      </w:r>
      <w:r>
        <w:t xml:space="preserve">Assistance in drafting and structuring research grant applications for national and international funding bodies, ensuring alignment with the scientific priorities of the Iranian Ministry of Science, Research and Technology.</w:t>
      </w:r>
    </w:p>
    <w:p>
      <w:pPr>
        <w:numPr>
          <w:ilvl w:val="0"/>
          <w:numId w:val="1001"/>
        </w:numPr>
        <w:pStyle w:val="Compact"/>
      </w:pPr>
      <w:r>
        <w:rPr>
          <w:bCs/>
          <w:b/>
        </w:rPr>
        <w:t xml:space="preserve">Equipment Procurement Advisory:</w:t>
      </w:r>
      <w:r>
        <w:t xml:space="preserve"> </w:t>
      </w:r>
      <w:r>
        <w:t xml:space="preserve">Technical consultation for the acquisition of specialized physics instrumentation, including spectrometers, interferometers, and cryogenic systems, with cost-benefit analyses tailored to the procurement regulations in</w:t>
      </w:r>
      <w:r>
        <w:t xml:space="preserve"> </w:t>
      </w:r>
      <w:r>
        <w:t xml:space="preserve">Iran Tehran</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Physicist – Quantum Research &amp; Simulation</w:t>
            </w:r>
          </w:p>
        </w:tc>
        <w:tc>
          <w:tcPr/>
          <w:p>
            <w:pPr>
              <w:pStyle w:val="Compact"/>
              <w:jc w:val="left"/>
            </w:pPr>
            <w:r>
              <w:t xml:space="preserve">3 months (full-time)</w:t>
            </w:r>
          </w:p>
        </w:tc>
        <w:tc>
          <w:tcPr/>
          <w:p>
            <w:pPr>
              <w:pStyle w:val="Compact"/>
              <w:jc w:val="left"/>
            </w:pPr>
            <w:r>
              <w:t xml:space="preserve">$4,200 / month</w:t>
            </w:r>
          </w:p>
        </w:tc>
        <w:tc>
          <w:tcPr/>
          <w:p>
            <w:pPr>
              <w:pStyle w:val="Compact"/>
              <w:jc w:val="left"/>
            </w:pPr>
            <w:r>
              <w:t xml:space="preserve">$12,600</w:t>
            </w:r>
          </w:p>
        </w:tc>
      </w:tr>
      <w:tr>
        <w:tc>
          <w:tcPr/>
          <w:p>
            <w:pPr>
              <w:pStyle w:val="Compact"/>
              <w:jc w:val="left"/>
            </w:pPr>
            <w:r>
              <w:t xml:space="preserve">02</w:t>
            </w:r>
          </w:p>
        </w:tc>
        <w:tc>
          <w:tcPr/>
          <w:p>
            <w:pPr>
              <w:pStyle w:val="Compact"/>
              <w:jc w:val="left"/>
            </w:pPr>
            <w:r>
              <w:t xml:space="preserve">Experimental Physics Laboratory Supervision</w:t>
            </w:r>
          </w:p>
        </w:tc>
        <w:tc>
          <w:tcPr/>
          <w:p>
            <w:pPr>
              <w:pStyle w:val="Compact"/>
              <w:jc w:val="left"/>
            </w:pPr>
            <w:r>
              <w:t xml:space="preserve">3 months (full-time)</w:t>
            </w:r>
          </w:p>
        </w:tc>
        <w:tc>
          <w:tcPr/>
          <w:p>
            <w:pPr>
              <w:pStyle w:val="Compact"/>
              <w:jc w:val="left"/>
            </w:pPr>
            <w:r>
              <w:t xml:space="preserve">$3,800 / month</w:t>
            </w:r>
          </w:p>
        </w:tc>
        <w:tc>
          <w:tcPr/>
          <w:p>
            <w:pPr>
              <w:pStyle w:val="Compact"/>
              <w:jc w:val="left"/>
            </w:pPr>
            <w:r>
              <w:t xml:space="preserve">$11,400</w:t>
            </w:r>
          </w:p>
        </w:tc>
      </w:tr>
      <w:tr>
        <w:tc>
          <w:tcPr/>
          <w:p>
            <w:pPr>
              <w:pStyle w:val="Compact"/>
              <w:jc w:val="left"/>
            </w:pPr>
            <w:r>
              <w:t xml:space="preserve">03</w:t>
            </w:r>
          </w:p>
        </w:tc>
        <w:tc>
          <w:tcPr/>
          <w:p>
            <w:pPr>
              <w:pStyle w:val="Compact"/>
              <w:jc w:val="left"/>
            </w:pPr>
            <w:r>
              <w:t xml:space="preserve">Thermodynamics Analysis &amp; Report Writing</w:t>
            </w:r>
          </w:p>
        </w:tc>
        <w:tc>
          <w:tcPr/>
          <w:p>
            <w:pPr>
              <w:pStyle w:val="Compact"/>
              <w:jc w:val="left"/>
            </w:pPr>
            <w:r>
              <w:t xml:space="preserve">6 deliverables</w:t>
            </w:r>
          </w:p>
        </w:tc>
        <w:tc>
          <w:tcPr/>
          <w:p>
            <w:pPr>
              <w:pStyle w:val="Compact"/>
              <w:jc w:val="left"/>
            </w:pPr>
            <w:r>
              <w:t xml:space="preserve">$950 / report</w:t>
            </w:r>
          </w:p>
        </w:tc>
        <w:tc>
          <w:tcPr/>
          <w:p>
            <w:pPr>
              <w:pStyle w:val="Compact"/>
              <w:jc w:val="left"/>
            </w:pPr>
            <w:r>
              <w:t xml:space="preserve">$5,700</w:t>
            </w:r>
          </w:p>
        </w:tc>
      </w:tr>
      <w:tr>
        <w:tc>
          <w:tcPr/>
          <w:p>
            <w:pPr>
              <w:pStyle w:val="Compact"/>
              <w:jc w:val="left"/>
            </w:pPr>
            <w:r>
              <w:t xml:space="preserve">04</w:t>
            </w:r>
          </w:p>
        </w:tc>
        <w:tc>
          <w:tcPr/>
          <w:p>
            <w:pPr>
              <w:pStyle w:val="Compact"/>
              <w:jc w:val="left"/>
            </w:pPr>
            <w:r>
              <w:t xml:space="preserve">Academic Seminars &amp; Graduate Mentoring (Bilingual)</w:t>
            </w:r>
          </w:p>
        </w:tc>
        <w:tc>
          <w:tcPr/>
          <w:p>
            <w:pPr>
              <w:pStyle w:val="Compact"/>
              <w:jc w:val="left"/>
            </w:pPr>
            <w:r>
              <w:t xml:space="preserve">12 sessions</w:t>
            </w:r>
          </w:p>
        </w:tc>
        <w:tc>
          <w:tcPr/>
          <w:p>
            <w:pPr>
              <w:pStyle w:val="Compact"/>
              <w:jc w:val="left"/>
            </w:pPr>
            <w:r>
              <w:t xml:space="preserve">$400 / session</w:t>
            </w:r>
          </w:p>
        </w:tc>
        <w:tc>
          <w:tcPr/>
          <w:p>
            <w:pPr>
              <w:pStyle w:val="Compact"/>
              <w:jc w:val="left"/>
            </w:pPr>
            <w:r>
              <w:t xml:space="preserve">$4,800</w:t>
            </w:r>
          </w:p>
        </w:tc>
      </w:tr>
      <w:tr>
        <w:tc>
          <w:tcPr/>
          <w:p>
            <w:pPr>
              <w:pStyle w:val="Compact"/>
              <w:jc w:val="left"/>
            </w:pPr>
            <w:r>
              <w:t xml:space="preserve">05</w:t>
            </w:r>
          </w:p>
        </w:tc>
        <w:tc>
          <w:tcPr/>
          <w:p>
            <w:pPr>
              <w:pStyle w:val="Compact"/>
              <w:jc w:val="left"/>
            </w:pPr>
            <w:r>
              <w:t xml:space="preserve">Grant Proposal Drafting &amp; Technical Review</w:t>
            </w:r>
          </w:p>
        </w:tc>
        <w:tc>
          <w:tcPr/>
          <w:p>
            <w:pPr>
              <w:pStyle w:val="Compact"/>
              <w:jc w:val="left"/>
            </w:pPr>
            <w:r>
              <w:t xml:space="preserve">2 proposals</w:t>
            </w:r>
          </w:p>
        </w:tc>
        <w:tc>
          <w:tcPr/>
          <w:p>
            <w:pPr>
              <w:pStyle w:val="Compact"/>
              <w:jc w:val="left"/>
            </w:pPr>
            <w:r>
              <w:t xml:space="preserve">$1,500 / proposal</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Equipment Procurement Advisory &amp; Vendor Liaison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Local Travel &amp; Transportation within Iran Tehran</w:t>
            </w:r>
          </w:p>
        </w:tc>
        <w:tc>
          <w:tcPr/>
          <w:p>
            <w:pPr>
              <w:pStyle w:val="Compact"/>
              <w:jc w:val="left"/>
            </w:pPr>
            <w:r>
              <w:t xml:space="preserve">3 months</w:t>
            </w:r>
          </w:p>
        </w:tc>
        <w:tc>
          <w:tcPr/>
          <w:p>
            <w:pPr>
              <w:pStyle w:val="Compact"/>
              <w:jc w:val="left"/>
            </w:pPr>
            <w:r>
              <w:t xml:space="preserve">$350 / month</w:t>
            </w:r>
          </w:p>
        </w:tc>
        <w:tc>
          <w:tcPr/>
          <w:p>
            <w:pPr>
              <w:pStyle w:val="Compact"/>
              <w:jc w:val="left"/>
            </w:pPr>
            <w:r>
              <w:t xml:space="preserve">$1,050</w:t>
            </w:r>
          </w:p>
        </w:tc>
      </w:tr>
      <w:tr>
        <w:tc>
          <w:tcPr/>
          <w:p>
            <w:pPr>
              <w:pStyle w:val="Compact"/>
              <w:jc w:val="left"/>
            </w:pPr>
            <w:r>
              <w:t xml:space="preserve">08</w:t>
            </w:r>
          </w:p>
        </w:tc>
        <w:tc>
          <w:tcPr/>
          <w:p>
            <w:pPr>
              <w:pStyle w:val="Compact"/>
              <w:jc w:val="left"/>
            </w:pPr>
            <w:r>
              <w:t xml:space="preserve">Administrative &amp; Compliance Overhead (Iran Tehran jurisdiction)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$1,950</w:t>
            </w:r>
          </w:p>
        </w:tc>
      </w:tr>
      <w:tr>
        <w:tc>
          <w:tcPr>
            <w:gridSpan w:val="4"/>
          </w:tcPr>
          <w:p>
            <w:pPr>
              <w:pStyle w:val="Compact"/>
              <w:jc w:val="left"/>
            </w:pPr>
            <w:r>
              <w:t xml:space="preserve">TOTAL ESTIMATED COST (before applicable taxes)</w:t>
            </w:r>
          </w:p>
        </w:tc>
        <w:tc>
          <w:tcPr/>
          <w:p>
            <w:pPr>
              <w:pStyle w:val="Compact"/>
              <w:jc w:val="left"/>
            </w:pPr>
            <w:r>
              <w:t xml:space="preserve">$42,000</w:t>
            </w:r>
          </w:p>
        </w:tc>
      </w:tr>
      <w:tr>
        <w:tc>
          <w:tcPr>
            <w:gridSpan w:val="4"/>
          </w:tcPr>
          <w:p>
            <w:pPr>
              <w:pStyle w:val="Compact"/>
              <w:jc w:val="left"/>
            </w:pPr>
            <w:r>
              <w:t xml:space="preserve">VAT / Applicable Iranian Tax (9%)</w:t>
            </w:r>
          </w:p>
        </w:tc>
        <w:tc>
          <w:tcPr/>
          <w:p>
            <w:pPr>
              <w:pStyle w:val="Compact"/>
              <w:jc w:val="left"/>
            </w:pPr>
            <w:r>
              <w:t xml:space="preserve">$3,780</w:t>
            </w:r>
          </w:p>
        </w:tc>
      </w:tr>
      <w:tr>
        <w:tc>
          <w:tcPr>
            <w:gridSpan w:val="4"/>
          </w:tcPr>
          <w:p>
            <w:pPr>
              <w:pStyle w:val="Compact"/>
              <w:jc w:val="left"/>
            </w:pPr>
            <w:r>
              <w:t xml:space="preserve">GRAND TOTAL</w:t>
            </w:r>
          </w:p>
        </w:tc>
        <w:tc>
          <w:tcPr/>
          <w:p>
            <w:pPr>
              <w:pStyle w:val="Compact"/>
              <w:jc w:val="left"/>
            </w:pPr>
            <w:r>
              <w:t xml:space="preserve">$45,780</w:t>
            </w:r>
          </w:p>
        </w:tc>
      </w:tr>
    </w:tbl>
    <w:bookmarkEnd w:id="23"/>
    <w:bookmarkStart w:id="24"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three (3) installments, as follows:</w:t>
      </w:r>
    </w:p>
    <w:p>
      <w:pPr>
        <w:numPr>
          <w:ilvl w:val="0"/>
          <w:numId w:val="1002"/>
        </w:numPr>
        <w:pStyle w:val="Compact"/>
      </w:pPr>
      <w:r>
        <w:rPr>
          <w:bCs/>
          <w:b/>
        </w:rPr>
        <w:t xml:space="preserve">First Installment (40%):</w:t>
      </w:r>
      <w:r>
        <w:t xml:space="preserve"> </w:t>
      </w:r>
      <w:r>
        <w:t xml:space="preserve">$18,312 – Due upon signed acceptance of this</w:t>
      </w:r>
      <w:r>
        <w:t xml:space="preserve"> </w:t>
      </w:r>
      <w:r>
        <w:t xml:space="preserve">Quotation Estimate</w:t>
      </w:r>
      <w:r>
        <w:t xml:space="preserve"> </w:t>
      </w:r>
      <w:r>
        <w:t xml:space="preserve">and commencement of the</w:t>
      </w:r>
      <w:r>
        <w:t xml:space="preserve"> </w:t>
      </w:r>
      <w:r>
        <w:t xml:space="preserve">Physicist</w:t>
      </w:r>
      <w:r>
        <w:t xml:space="preserve">'s engagement in</w:t>
      </w:r>
      <w:r>
        <w:t xml:space="preserve"> </w:t>
      </w:r>
      <w:r>
        <w:t xml:space="preserve">Iran Tehran</w:t>
      </w:r>
      <w:r>
        <w:t xml:space="preserve">.</w:t>
      </w:r>
    </w:p>
    <w:p>
      <w:pPr>
        <w:numPr>
          <w:ilvl w:val="0"/>
          <w:numId w:val="1002"/>
        </w:numPr>
        <w:pStyle w:val="Compact"/>
      </w:pPr>
      <w:r>
        <w:rPr>
          <w:bCs/>
          <w:b/>
        </w:rPr>
        <w:t xml:space="preserve">Second Installment (35%):</w:t>
      </w:r>
      <w:r>
        <w:t xml:space="preserve"> </w:t>
      </w:r>
      <w:r>
        <w:t xml:space="preserve">$16,023 – Due at the midpoint of the three-month service period, contingent upon satisfactory interim deliverables.</w:t>
      </w:r>
    </w:p>
    <w:p>
      <w:pPr>
        <w:numPr>
          <w:ilvl w:val="0"/>
          <w:numId w:val="1002"/>
        </w:numPr>
        <w:pStyle w:val="Compact"/>
      </w:pPr>
      <w:r>
        <w:rPr>
          <w:bCs/>
          <w:b/>
        </w:rPr>
        <w:t xml:space="preserve">Third Installment (25%):</w:t>
      </w:r>
      <w:r>
        <w:t xml:space="preserve"> </w:t>
      </w:r>
      <w:r>
        <w:t xml:space="preserve">$11,445 – Due upon final completion of all deliverables and submission of the closing report to the client in</w:t>
      </w:r>
      <w:r>
        <w:t xml:space="preserve"> </w:t>
      </w:r>
      <w:r>
        <w:t xml:space="preserve">Iran Tehran</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Any request for services beyond this validity period shall require a revised</w:t>
      </w:r>
      <w:r>
        <w:t xml:space="preserve"> </w:t>
      </w:r>
      <w:r>
        <w:t xml:space="preserve">Quotation Estimate</w:t>
      </w:r>
      <w:r>
        <w:t xml:space="preserve"> </w:t>
      </w:r>
      <w:r>
        <w:t xml:space="preserve">reflecting current market conditions in</w:t>
      </w:r>
      <w:r>
        <w:t xml:space="preserve"> </w:t>
      </w:r>
      <w:r>
        <w:t xml:space="preserve">Iran Tehran</w:t>
      </w:r>
      <w:r>
        <w:t xml:space="preserve">.</w:t>
      </w:r>
    </w:p>
    <w:p>
      <w:pPr>
        <w:pStyle w:val="BodyText"/>
      </w:pPr>
      <w:r>
        <w:rPr>
          <w:bCs/>
          <w:b/>
        </w:rPr>
        <w:t xml:space="preserve">5.2</w:t>
      </w:r>
      <w:r>
        <w:t xml:space="preserve"> </w:t>
      </w:r>
      <w:r>
        <w:t xml:space="preserve">The</w:t>
      </w:r>
      <w:r>
        <w:t xml:space="preserve"> </w:t>
      </w:r>
      <w:r>
        <w:t xml:space="preserve">Physicist</w:t>
      </w:r>
      <w:r>
        <w:t xml:space="preserve"> </w:t>
      </w:r>
      <w:r>
        <w:t xml:space="preserve">engaged under this agreement shall comply with all applicable laws, regulations, and academic ethical standards of the Islamic Republic of Iran, including those enforced by the Ministry of Science, Research and Technology and the relevant university governing bodies in</w:t>
      </w:r>
      <w:r>
        <w:t xml:space="preserve"> </w:t>
      </w:r>
      <w:r>
        <w:t xml:space="preserve">Iran Tehran</w:t>
      </w:r>
      <w:r>
        <w:t xml:space="preserve">.</w:t>
      </w:r>
    </w:p>
    <w:p>
      <w:pPr>
        <w:pStyle w:val="BodyText"/>
      </w:pPr>
      <w:r>
        <w:rPr>
          <w:bCs/>
          <w:b/>
        </w:rPr>
        <w:t xml:space="preserve">5.3</w:t>
      </w:r>
      <w:r>
        <w:t xml:space="preserve"> </w:t>
      </w:r>
      <w:r>
        <w:t xml:space="preserve">All intellectual property, research data, and publications generated during the course of this engagement shall be jointly owned by the</w:t>
      </w:r>
      <w:r>
        <w:t xml:space="preserve"> </w:t>
      </w:r>
      <w:r>
        <w:t xml:space="preserve">Physicist</w:t>
      </w:r>
      <w:r>
        <w:t xml:space="preserve"> </w:t>
      </w:r>
      <w:r>
        <w:t xml:space="preserve">and the client institution, as stipulated in a separate Intellectual Property Addendum to be executed prior to commencement of work in</w:t>
      </w:r>
      <w:r>
        <w:t xml:space="preserve"> </w:t>
      </w:r>
      <w:r>
        <w:t xml:space="preserve">Iran Tehran</w:t>
      </w:r>
      <w:r>
        <w:t xml:space="preserve">.</w:t>
      </w:r>
    </w:p>
    <w:p>
      <w:pPr>
        <w:pStyle w:val="BodyText"/>
      </w:pPr>
      <w:r>
        <w:rPr>
          <w:bCs/>
          <w:b/>
        </w:rPr>
        <w:t xml:space="preserve">5.4</w:t>
      </w:r>
      <w:r>
        <w:t xml:space="preserve"> </w:t>
      </w:r>
      <w:r>
        <w:t xml:space="preserve">The client agrees to provide the</w:t>
      </w:r>
      <w:r>
        <w:t xml:space="preserve"> </w:t>
      </w:r>
      <w:r>
        <w:t xml:space="preserve">Physicist</w:t>
      </w:r>
      <w:r>
        <w:t xml:space="preserve"> </w:t>
      </w:r>
      <w:r>
        <w:t xml:space="preserve">with full access to all laboratory facilities, computing resources, and reference libraries at the designated site in</w:t>
      </w:r>
      <w:r>
        <w:t xml:space="preserve"> </w:t>
      </w:r>
      <w:r>
        <w:t xml:space="preserve">Iran Tehran</w:t>
      </w:r>
      <w:r>
        <w:t xml:space="preserve"> </w:t>
      </w:r>
      <w:r>
        <w:t xml:space="preserve">during agreed working hours.</w:t>
      </w:r>
    </w:p>
    <w:p>
      <w:pPr>
        <w:pStyle w:val="BodyText"/>
      </w:pPr>
      <w:r>
        <w:rPr>
          <w:bCs/>
          <w:b/>
        </w:rPr>
        <w:t xml:space="preserve">5.5</w:t>
      </w:r>
      <w:r>
        <w:t xml:space="preserve"> </w:t>
      </w:r>
      <w:r>
        <w:t xml:space="preserve">Any changes to the scope of work outlined in this</w:t>
      </w:r>
      <w:r>
        <w:t xml:space="preserve"> </w:t>
      </w:r>
      <w:r>
        <w:t xml:space="preserve">Quotation Estimate</w:t>
      </w:r>
      <w:r>
        <w:t xml:space="preserve"> </w:t>
      </w:r>
      <w:r>
        <w:t xml:space="preserve">must be documented in a written Change Order signed by both parties. Additional costs arising from scope modifications will be assessed separately and are not included in the total amount stated herein.</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shall be resolved through amicable negotiation. In the event of unresolved disagreement, matters shall be referred to the competent courts in</w:t>
      </w:r>
      <w:r>
        <w:t xml:space="preserve"> </w:t>
      </w:r>
      <w:r>
        <w:t xml:space="preserve">Iran Tehran</w:t>
      </w:r>
      <w:r>
        <w:t xml:space="preserve"> </w:t>
      </w:r>
      <w:r>
        <w:t xml:space="preserve">in accordance with the civil code of the Islamic Republic of Iran.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w:t>
      </w:r>
      <w:r>
        <w:t xml:space="preserve"> </w:t>
      </w:r>
      <w:r>
        <w:t xml:space="preserve">Physicist</w:t>
      </w:r>
      <w:r>
        <w:t xml:space="preserve"> </w:t>
      </w:r>
      <w:r>
        <w:t xml:space="preserve">services to be rendered in</w:t>
      </w:r>
      <w:r>
        <w:t xml:space="preserve"> </w:t>
      </w:r>
      <w:r>
        <w:t xml:space="preserve">Iran Tehran</w:t>
      </w:r>
      <w:r>
        <w:t xml:space="preserve">.</w:t>
      </w:r>
    </w:p>
    <w:p>
      <w:pPr>
        <w:pStyle w:val="BodyText"/>
      </w:pPr>
      <w:r>
        <w:rPr>
          <w:bCs/>
          <w:b/>
        </w:rPr>
        <w:t xml:space="preserve">For the Service Provider</w:t>
      </w:r>
      <w:r>
        <w:br/>
      </w:r>
      <w:r>
        <w:t xml:space="preserve">Dr. S. Ahmadi – Lead Physicist</w:t>
      </w:r>
      <w:r>
        <w:br/>
      </w:r>
      <w:r>
        <w:t xml:space="preserve">Date: _______________</w:t>
      </w:r>
    </w:p>
    <w:p>
      <w:pPr>
        <w:pStyle w:val="BodyText"/>
      </w:pPr>
      <w:r>
        <w:rPr>
          <w:bCs/>
          <w:b/>
        </w:rPr>
        <w:t xml:space="preserve">For the Client Institution</w:t>
      </w:r>
      <w:r>
        <w:br/>
      </w:r>
      <w:r>
        <w:t xml:space="preserve">Tehran University of Technology</w:t>
      </w:r>
      <w:r>
        <w:br/>
      </w:r>
      <w:r>
        <w:t xml:space="preserve">Authorized Representative</w:t>
      </w:r>
      <w:r>
        <w:br/>
      </w:r>
      <w:r>
        <w:t xml:space="preserve">Date: _______________</w:t>
      </w:r>
    </w:p>
    <w:p>
      <w:pPr>
        <w:pStyle w:val="BodyText"/>
      </w:pPr>
      <w:r>
        <w:t xml:space="preserve">This Quotation Estimate document was prepared exclusively for the client named herein and is not transferable. All references to Iran Tehran pertain to the geographic and jurisdictional scope of the services described. Document QE-IRN-TEH-2025-0417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Iran Tehran</dc:title>
  <dc:creator/>
  <dc:language>en</dc:language>
  <cp:keywords/>
  <dcterms:created xsi:type="dcterms:W3CDTF">2026-10-10T02:12:43Z</dcterms:created>
  <dcterms:modified xsi:type="dcterms:W3CDTF">2026-10-10T02:12:43Z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