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Iraq</w:t>
      </w:r>
      <w:r>
        <w:t xml:space="preserve"> </w:t>
      </w:r>
      <w:r>
        <w:t xml:space="preserve">Baghdad</w:t>
      </w:r>
    </w:p>
    <w:bookmarkStart w:id="20" w:name="quotation-estimate"/>
    <w:p>
      <w:pPr>
        <w:pStyle w:val="Heading1"/>
      </w:pPr>
      <w:r>
        <w:t xml:space="preserve">Quotation Estimate</w:t>
      </w:r>
    </w:p>
    <w:p>
      <w:pPr>
        <w:pStyle w:val="FirstParagraph"/>
      </w:pPr>
      <w:r>
        <w:t xml:space="preserve">Professional Physicist Services — Iraq Baghdad</w:t>
      </w:r>
    </w:p>
    <w:p>
      <w:pPr>
        <w:pStyle w:val="BodyText"/>
      </w:pPr>
      <w:r>
        <w:t xml:space="preserve">Mesopotamia Scientific Consulting Group</w:t>
      </w:r>
    </w:p>
    <w:p>
      <w:pPr>
        <w:pStyle w:val="BodyText"/>
      </w:pPr>
      <w:r>
        <w:t xml:space="preserve">Al-Mansour District, Baghdad, Republic of Iraq</w:t>
      </w:r>
    </w:p>
    <w:p>
      <w:pPr>
        <w:pStyle w:val="BodyText"/>
      </w:pPr>
      <w:r>
        <w:t xml:space="preserve">Tel: +964-770-123-4567 | Email: quotes@mesoscience.iq</w:t>
      </w:r>
    </w:p>
    <w:bookmarkEnd w:id="20"/>
    <w:p>
      <w:pPr>
        <w:pStyle w:val="BodyText"/>
      </w:pPr>
      <w:r>
        <w:rPr>
          <w:bCs/>
          <w:b/>
        </w:rPr>
        <w:t xml:space="preserve">Quotation No.:</w:t>
      </w:r>
      <w:r>
        <w:t xml:space="preserve"> </w:t>
      </w:r>
      <w:r>
        <w:t xml:space="preserve">QTE-BGH-2025-0472</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Project Location:</w:t>
      </w:r>
      <w:r>
        <w:t xml:space="preserve"> </w:t>
      </w:r>
      <w:r>
        <w:t xml:space="preserve">Iraq Baghdad</w:t>
      </w:r>
    </w:p>
    <w:p>
      <w:pPr>
        <w:pStyle w:val="BodyText"/>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University of Baghdad — Faculty of Science, Department of Physics</w:t>
            </w:r>
          </w:p>
        </w:tc>
      </w:tr>
      <w:tr>
        <w:tc>
          <w:tcPr/>
          <w:p>
            <w:pPr>
              <w:pStyle w:val="Compact"/>
              <w:jc w:val="left"/>
            </w:pPr>
            <w:r>
              <w:rPr>
                <w:bCs/>
                <w:b/>
              </w:rPr>
              <w:t xml:space="preserve">Address:</w:t>
            </w:r>
          </w:p>
        </w:tc>
        <w:tc>
          <w:tcPr/>
          <w:p>
            <w:pPr>
              <w:pStyle w:val="Compact"/>
              <w:jc w:val="left"/>
            </w:pPr>
            <w:r>
              <w:t xml:space="preserve">Al-Jadriya District, Baghdad, Iraq</w:t>
            </w:r>
          </w:p>
        </w:tc>
      </w:tr>
      <w:tr>
        <w:tc>
          <w:tcPr/>
          <w:p>
            <w:pPr>
              <w:pStyle w:val="Compact"/>
              <w:jc w:val="left"/>
            </w:pPr>
            <w:r>
              <w:rPr>
                <w:bCs/>
                <w:b/>
              </w:rPr>
              <w:t xml:space="preserve">Contact Person:</w:t>
            </w:r>
          </w:p>
        </w:tc>
        <w:tc>
          <w:tcPr/>
          <w:p>
            <w:pPr>
              <w:pStyle w:val="Compact"/>
              <w:jc w:val="left"/>
            </w:pPr>
            <w:r>
              <w:t xml:space="preserve">Dr. Ahmed Al-Rashid, Head of Department</w:t>
            </w:r>
          </w:p>
        </w:tc>
      </w:tr>
      <w:tr>
        <w:tc>
          <w:tcPr/>
          <w:p>
            <w:pPr>
              <w:pStyle w:val="Compact"/>
              <w:jc w:val="left"/>
            </w:pPr>
            <w:r>
              <w:rPr>
                <w:bCs/>
                <w:b/>
              </w:rPr>
              <w:t xml:space="preserve">Reference No.:</w:t>
            </w:r>
          </w:p>
        </w:tc>
        <w:tc>
          <w:tcPr/>
          <w:p>
            <w:pPr>
              <w:pStyle w:val="Compact"/>
              <w:jc w:val="left"/>
            </w:pPr>
            <w:r>
              <w:t xml:space="preserve">UB-FS-2025-118</w:t>
            </w:r>
          </w:p>
        </w:tc>
      </w:tr>
    </w:tbl>
    <w:p>
      <w:pPr>
        <w:pStyle w:val="BodyText"/>
      </w:pPr>
      <w:r>
        <w:t xml:space="preserve">2. Scope of Work — Physicist Engagement in Iraq Baghdad</w:t>
      </w:r>
    </w:p>
    <w:p>
      <w:pPr>
        <w:pStyle w:val="BodyText"/>
      </w:pPr>
      <w:r>
        <w:t xml:space="preserve">This</w:t>
      </w:r>
      <w:r>
        <w:t xml:space="preserve"> </w:t>
      </w:r>
      <w:r>
        <w:t xml:space="preserve">Quotation Estimate</w:t>
      </w:r>
      <w:r>
        <w:t xml:space="preserve"> </w:t>
      </w:r>
      <w:r>
        <w:t xml:space="preserve">is issued by Mesopotamia Scientific Consulting Group for the provision of a qualified</w:t>
      </w:r>
      <w:r>
        <w:t xml:space="preserve"> </w:t>
      </w:r>
      <w:r>
        <w:t xml:space="preserve">Physicist</w:t>
      </w:r>
      <w:r>
        <w:t xml:space="preserve"> </w:t>
      </w:r>
      <w:r>
        <w:t xml:space="preserve">to be deployed and engaged in</w:t>
      </w:r>
      <w:r>
        <w:t xml:space="preserve"> </w:t>
      </w:r>
      <w:r>
        <w:t xml:space="preserve">Iraq Baghdad</w:t>
      </w:r>
      <w:r>
        <w:t xml:space="preserve"> </w:t>
      </w:r>
      <w:r>
        <w:t xml:space="preserve">for a period of twelve (12) months. The Physicist shall be responsible for conducting advanced research in nuclear and particle physics, supervising graduate students, operating laboratory instrumentation, and contributing to the development of the physics curriculum at the host institution. The engagement is specifically tailored to the academic and research environment of Iraq Baghdad, taking into account local regulatory requirements, institutional protocols, and the specific scientific objectives outlined by the client.</w:t>
      </w:r>
    </w:p>
    <w:p>
      <w:pPr>
        <w:pStyle w:val="BodyText"/>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Unit Cost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Senior Physicist — Monthly Professional Fee (PhD in Nuclear Physics, 10+ years experience)</w:t>
            </w:r>
          </w:p>
        </w:tc>
        <w:tc>
          <w:tcPr/>
          <w:p>
            <w:pPr>
              <w:pStyle w:val="Compact"/>
              <w:jc w:val="left"/>
            </w:pPr>
            <w:r>
              <w:t xml:space="preserve">12 months</w:t>
            </w:r>
          </w:p>
        </w:tc>
        <w:tc>
          <w:tcPr/>
          <w:p>
            <w:pPr>
              <w:pStyle w:val="Compact"/>
              <w:jc w:val="left"/>
            </w:pPr>
            <w:r>
              <w:t xml:space="preserve">$6,500</w:t>
            </w:r>
          </w:p>
        </w:tc>
        <w:tc>
          <w:tcPr/>
          <w:p>
            <w:pPr>
              <w:pStyle w:val="Compact"/>
              <w:jc w:val="left"/>
            </w:pPr>
            <w:r>
              <w:t xml:space="preserve">$78,000</w:t>
            </w:r>
          </w:p>
        </w:tc>
      </w:tr>
      <w:tr>
        <w:tc>
          <w:tcPr/>
          <w:p>
            <w:pPr>
              <w:pStyle w:val="Compact"/>
              <w:jc w:val="left"/>
            </w:pPr>
            <w:r>
              <w:t xml:space="preserve">02</w:t>
            </w:r>
          </w:p>
        </w:tc>
        <w:tc>
          <w:tcPr/>
          <w:p>
            <w:pPr>
              <w:pStyle w:val="Compact"/>
              <w:jc w:val="left"/>
            </w:pPr>
            <w:r>
              <w:t xml:space="preserve">Physicist Accommodation — Furnished apartment in Al-Mansour, Baghdad</w:t>
            </w:r>
          </w:p>
        </w:tc>
        <w:tc>
          <w:tcPr/>
          <w:p>
            <w:pPr>
              <w:pStyle w:val="Compact"/>
              <w:jc w:val="left"/>
            </w:pPr>
            <w:r>
              <w:t xml:space="preserve">12 months</w:t>
            </w:r>
          </w:p>
        </w:tc>
        <w:tc>
          <w:tcPr/>
          <w:p>
            <w:pPr>
              <w:pStyle w:val="Compact"/>
              <w:jc w:val="left"/>
            </w:pPr>
            <w:r>
              <w:t xml:space="preserve">$1,200</w:t>
            </w:r>
          </w:p>
        </w:tc>
        <w:tc>
          <w:tcPr/>
          <w:p>
            <w:pPr>
              <w:pStyle w:val="Compact"/>
              <w:jc w:val="left"/>
            </w:pPr>
            <w:r>
              <w:t xml:space="preserve">$14,400</w:t>
            </w:r>
          </w:p>
        </w:tc>
      </w:tr>
      <w:tr>
        <w:tc>
          <w:tcPr/>
          <w:p>
            <w:pPr>
              <w:pStyle w:val="Compact"/>
              <w:jc w:val="left"/>
            </w:pPr>
            <w:r>
              <w:t xml:space="preserve">03</w:t>
            </w:r>
          </w:p>
        </w:tc>
        <w:tc>
          <w:tcPr/>
          <w:p>
            <w:pPr>
              <w:pStyle w:val="Compact"/>
              <w:jc w:val="left"/>
            </w:pPr>
            <w:r>
              <w:t xml:space="preserve">International Airfare (Round-trip, Economy Plus) — Baghdad International Airport</w:t>
            </w:r>
          </w:p>
        </w:tc>
        <w:tc>
          <w:tcPr/>
          <w:p>
            <w:pPr>
              <w:pStyle w:val="Compact"/>
              <w:jc w:val="left"/>
            </w:pPr>
            <w:r>
              <w:t xml:space="preserve">One-time</w:t>
            </w:r>
          </w:p>
        </w:tc>
        <w:tc>
          <w:tcPr/>
          <w:p>
            <w:pPr>
              <w:pStyle w:val="Compact"/>
              <w:jc w:val="left"/>
            </w:pPr>
            <w:r>
              <w:t xml:space="preserve">$2,800</w:t>
            </w:r>
          </w:p>
        </w:tc>
        <w:tc>
          <w:tcPr/>
          <w:p>
            <w:pPr>
              <w:pStyle w:val="Compact"/>
              <w:jc w:val="left"/>
            </w:pPr>
            <w:r>
              <w:t xml:space="preserve">$2,800</w:t>
            </w:r>
          </w:p>
        </w:tc>
      </w:tr>
      <w:tr>
        <w:tc>
          <w:tcPr/>
          <w:p>
            <w:pPr>
              <w:pStyle w:val="Compact"/>
              <w:jc w:val="left"/>
            </w:pPr>
            <w:r>
              <w:t xml:space="preserve">04</w:t>
            </w:r>
          </w:p>
        </w:tc>
        <w:tc>
          <w:tcPr/>
          <w:p>
            <w:pPr>
              <w:pStyle w:val="Compact"/>
              <w:jc w:val="left"/>
            </w:pPr>
            <w:r>
              <w:t xml:space="preserve">Visa Processing, Work Permit &amp; Iraqi Ministry of Higher Education Registration</w:t>
            </w:r>
          </w:p>
        </w:tc>
        <w:tc>
          <w:tcPr/>
          <w:p>
            <w:pPr>
              <w:pStyle w:val="Compact"/>
              <w:jc w:val="left"/>
            </w:pPr>
            <w:r>
              <w:t xml:space="preserve">One-time</w:t>
            </w:r>
          </w:p>
        </w:tc>
        <w:tc>
          <w:tcPr/>
          <w:p>
            <w:pPr>
              <w:pStyle w:val="Compact"/>
              <w:jc w:val="left"/>
            </w:pPr>
            <w:r>
              <w:t xml:space="preserve">$1,500</w:t>
            </w:r>
          </w:p>
        </w:tc>
        <w:tc>
          <w:tcPr/>
          <w:p>
            <w:pPr>
              <w:pStyle w:val="Compact"/>
              <w:jc w:val="left"/>
            </w:pPr>
            <w:r>
              <w:t xml:space="preserve">$1,500</w:t>
            </w:r>
          </w:p>
        </w:tc>
      </w:tr>
      <w:tr>
        <w:tc>
          <w:tcPr/>
          <w:p>
            <w:pPr>
              <w:pStyle w:val="Compact"/>
              <w:jc w:val="left"/>
            </w:pPr>
            <w:r>
              <w:t xml:space="preserve">05</w:t>
            </w:r>
          </w:p>
        </w:tc>
        <w:tc>
          <w:tcPr/>
          <w:p>
            <w:pPr>
              <w:pStyle w:val="Compact"/>
              <w:jc w:val="left"/>
            </w:pPr>
            <w:r>
              <w:t xml:space="preserve">Comprehensive Health &amp; Evacuation Insurance (Iraq Baghdad coverage)</w:t>
            </w:r>
          </w:p>
        </w:tc>
        <w:tc>
          <w:tcPr/>
          <w:p>
            <w:pPr>
              <w:pStyle w:val="Compact"/>
              <w:jc w:val="left"/>
            </w:pPr>
            <w:r>
              <w:t xml:space="preserve">12 months</w:t>
            </w:r>
          </w:p>
        </w:tc>
        <w:tc>
          <w:tcPr/>
          <w:p>
            <w:pPr>
              <w:pStyle w:val="Compact"/>
              <w:jc w:val="left"/>
            </w:pPr>
            <w:r>
              <w:t xml:space="preserve">$950</w:t>
            </w:r>
          </w:p>
        </w:tc>
        <w:tc>
          <w:tcPr/>
          <w:p>
            <w:pPr>
              <w:pStyle w:val="Compact"/>
              <w:jc w:val="left"/>
            </w:pPr>
            <w:r>
              <w:t xml:space="preserve">$11,400</w:t>
            </w:r>
          </w:p>
        </w:tc>
      </w:tr>
      <w:tr>
        <w:tc>
          <w:tcPr/>
          <w:p>
            <w:pPr>
              <w:pStyle w:val="Compact"/>
              <w:jc w:val="left"/>
            </w:pPr>
            <w:r>
              <w:t xml:space="preserve">06</w:t>
            </w:r>
          </w:p>
        </w:tc>
        <w:tc>
          <w:tcPr/>
          <w:p>
            <w:pPr>
              <w:pStyle w:val="Compact"/>
              <w:jc w:val="left"/>
            </w:pPr>
            <w:r>
              <w:t xml:space="preserve">Laboratory Equipment Calibration &amp; Consumables (Nuclear Physics Lab)</w:t>
            </w:r>
          </w:p>
        </w:tc>
        <w:tc>
          <w:tcPr/>
          <w:p>
            <w:pPr>
              <w:pStyle w:val="Compact"/>
              <w:jc w:val="left"/>
            </w:pPr>
            <w:r>
              <w:t xml:space="preserve">12 months</w:t>
            </w:r>
          </w:p>
        </w:tc>
        <w:tc>
          <w:tcPr/>
          <w:p>
            <w:pPr>
              <w:pStyle w:val="Compact"/>
              <w:jc w:val="left"/>
            </w:pPr>
            <w:r>
              <w:t xml:space="preserve">$3,200</w:t>
            </w:r>
          </w:p>
        </w:tc>
        <w:tc>
          <w:tcPr/>
          <w:p>
            <w:pPr>
              <w:pStyle w:val="Compact"/>
              <w:jc w:val="left"/>
            </w:pPr>
            <w:r>
              <w:t xml:space="preserve">$38,400</w:t>
            </w:r>
          </w:p>
        </w:tc>
      </w:tr>
      <w:tr>
        <w:tc>
          <w:tcPr/>
          <w:p>
            <w:pPr>
              <w:pStyle w:val="Compact"/>
              <w:jc w:val="left"/>
            </w:pPr>
            <w:r>
              <w:t xml:space="preserve">07</w:t>
            </w:r>
          </w:p>
        </w:tc>
        <w:tc>
          <w:tcPr/>
          <w:p>
            <w:pPr>
              <w:pStyle w:val="Compact"/>
              <w:jc w:val="left"/>
            </w:pPr>
            <w:r>
              <w:t xml:space="preserve">Research Publication Support &amp; Conference Travel (within Iraq Baghdad region)</w:t>
            </w:r>
          </w:p>
        </w:tc>
        <w:tc>
          <w:tcPr/>
          <w:p>
            <w:pPr>
              <w:pStyle w:val="Compact"/>
              <w:jc w:val="left"/>
            </w:pPr>
            <w:r>
              <w:t xml:space="preserve">12 months</w:t>
            </w:r>
          </w:p>
        </w:tc>
        <w:tc>
          <w:tcPr/>
          <w:p>
            <w:pPr>
              <w:pStyle w:val="Compact"/>
              <w:jc w:val="left"/>
            </w:pPr>
            <w:r>
              <w:t xml:space="preserve">$1,800</w:t>
            </w:r>
          </w:p>
        </w:tc>
        <w:tc>
          <w:tcPr/>
          <w:p>
            <w:pPr>
              <w:pStyle w:val="Compact"/>
              <w:jc w:val="left"/>
            </w:pPr>
            <w:r>
              <w:t xml:space="preserve">$21,600</w:t>
            </w:r>
          </w:p>
        </w:tc>
      </w:tr>
      <w:tr>
        <w:tc>
          <w:tcPr/>
          <w:p>
            <w:pPr>
              <w:pStyle w:val="Compact"/>
              <w:jc w:val="left"/>
            </w:pPr>
            <w:r>
              <w:t xml:space="preserve">08</w:t>
            </w:r>
          </w:p>
        </w:tc>
        <w:tc>
          <w:tcPr/>
          <w:p>
            <w:pPr>
              <w:pStyle w:val="Compact"/>
              <w:jc w:val="left"/>
            </w:pPr>
            <w:r>
              <w:t xml:space="preserve">Security Detail &amp; Daily Transportation within Baghdad</w:t>
            </w:r>
          </w:p>
        </w:tc>
        <w:tc>
          <w:tcPr/>
          <w:p>
            <w:pPr>
              <w:pStyle w:val="Compact"/>
              <w:jc w:val="left"/>
            </w:pPr>
            <w:r>
              <w:t xml:space="preserve">12 months</w:t>
            </w:r>
          </w:p>
        </w:tc>
        <w:tc>
          <w:tcPr/>
          <w:p>
            <w:pPr>
              <w:pStyle w:val="Compact"/>
              <w:jc w:val="left"/>
            </w:pPr>
            <w:r>
              <w:t xml:space="preserve">$850</w:t>
            </w:r>
          </w:p>
        </w:tc>
        <w:tc>
          <w:tcPr/>
          <w:p>
            <w:pPr>
              <w:pStyle w:val="Compact"/>
              <w:jc w:val="left"/>
            </w:pPr>
            <w:r>
              <w:t xml:space="preserve">$10,200</w:t>
            </w:r>
          </w:p>
        </w:tc>
      </w:tr>
      <w:tr>
        <w:tc>
          <w:tcPr/>
          <w:p>
            <w:pPr>
              <w:pStyle w:val="Compact"/>
              <w:jc w:val="left"/>
            </w:pPr>
            <w:r>
              <w:t xml:space="preserve">09</w:t>
            </w:r>
          </w:p>
        </w:tc>
        <w:tc>
          <w:tcPr/>
          <w:p>
            <w:pPr>
              <w:pStyle w:val="Compact"/>
              <w:jc w:val="left"/>
            </w:pPr>
            <w:r>
              <w:t xml:space="preserve">Project Management &amp; Administrative Oversight Fee</w:t>
            </w:r>
          </w:p>
        </w:tc>
        <w:tc>
          <w:tcPr/>
          <w:p>
            <w:pPr>
              <w:pStyle w:val="Compact"/>
              <w:jc w:val="left"/>
            </w:pPr>
            <w:r>
              <w:t xml:space="preserve">12 months</w:t>
            </w:r>
          </w:p>
        </w:tc>
        <w:tc>
          <w:tcPr/>
          <w:p>
            <w:pPr>
              <w:pStyle w:val="Compact"/>
              <w:jc w:val="left"/>
            </w:pPr>
            <w:r>
              <w:t xml:space="preserve">$1,000</w:t>
            </w:r>
          </w:p>
        </w:tc>
        <w:tc>
          <w:tcPr/>
          <w:p>
            <w:pPr>
              <w:pStyle w:val="Compact"/>
              <w:jc w:val="left"/>
            </w:pPr>
            <w:r>
              <w:t xml:space="preserve">$12,000</w:t>
            </w:r>
          </w:p>
        </w:tc>
      </w:tr>
      <w:tr>
        <w:tc>
          <w:tcPr/>
          <w:p>
            <w:pPr>
              <w:pStyle w:val="Compact"/>
              <w:jc w:val="left"/>
            </w:pPr>
            <w:r>
              <w:t xml:space="preserve">10</w:t>
            </w:r>
          </w:p>
        </w:tc>
        <w:tc>
          <w:tcPr/>
          <w:p>
            <w:pPr>
              <w:pStyle w:val="Compact"/>
              <w:jc w:val="left"/>
            </w:pPr>
            <w:r>
              <w:t xml:space="preserve">Contingency &amp; Miscellaneous (5% of subtotal)</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$8,970</w:t>
            </w:r>
          </w:p>
        </w:tc>
      </w:tr>
      <w:tr>
        <w:tc>
          <w:tcPr>
            <w:gridSpan w:val="4"/>
          </w:tcPr>
          <w:p>
            <w:pPr>
              <w:pStyle w:val="Compact"/>
              <w:jc w:val="left"/>
            </w:pPr>
            <w:r>
              <w:t xml:space="preserve">TOTAL ESTIMATED COST (USD)</w:t>
            </w:r>
          </w:p>
        </w:tc>
        <w:tc>
          <w:tcPr/>
          <w:p>
            <w:pPr>
              <w:pStyle w:val="Compact"/>
              <w:jc w:val="left"/>
            </w:pPr>
            <w:r>
              <w:t xml:space="preserve">$199,270</w:t>
            </w:r>
          </w:p>
        </w:tc>
      </w:tr>
    </w:tbl>
    <w:p>
      <w:pPr>
        <w:pStyle w:val="BodyText"/>
      </w:pPr>
      <w:r>
        <w:t xml:space="preserve">4. 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(USD)</w:t>
            </w:r>
          </w:p>
        </w:tc>
        <w:tc>
          <w:tcPr/>
          <w:p>
            <w:pPr>
              <w:pStyle w:val="Compact"/>
              <w:jc w:val="left"/>
            </w:pPr>
            <w:r>
              <w:t xml:space="preserve">Due Date</w:t>
            </w:r>
          </w:p>
        </w:tc>
      </w:tr>
      <w:tr>
        <w:tc>
          <w:tcPr/>
          <w:p>
            <w:pPr>
              <w:pStyle w:val="Compact"/>
              <w:jc w:val="left"/>
            </w:pPr>
            <w:r>
              <w:t xml:space="preserve">Contract Signing &amp; Mobilization</w:t>
            </w:r>
          </w:p>
        </w:tc>
        <w:tc>
          <w:tcPr/>
          <w:p>
            <w:pPr>
              <w:pStyle w:val="Compact"/>
              <w:jc w:val="left"/>
            </w:pPr>
            <w:r>
              <w:t xml:space="preserve">30%</w:t>
            </w:r>
          </w:p>
        </w:tc>
        <w:tc>
          <w:tcPr/>
          <w:p>
            <w:pPr>
              <w:pStyle w:val="Compact"/>
              <w:jc w:val="left"/>
            </w:pPr>
            <w:r>
              <w:t xml:space="preserve">$59,781</w:t>
            </w:r>
          </w:p>
        </w:tc>
        <w:tc>
          <w:tcPr/>
          <w:p>
            <w:pPr>
              <w:pStyle w:val="Compact"/>
              <w:jc w:val="left"/>
            </w:pPr>
            <w:r>
              <w:t xml:space="preserve">Within 14 days of acceptance</w:t>
            </w:r>
          </w:p>
        </w:tc>
      </w:tr>
      <w:tr>
        <w:tc>
          <w:tcPr/>
          <w:p>
            <w:pPr>
              <w:pStyle w:val="Compact"/>
              <w:jc w:val="left"/>
            </w:pPr>
            <w:r>
              <w:t xml:space="preserve">Physicist Arrival in Iraq Baghdad &amp; Commencement</w:t>
            </w:r>
          </w:p>
        </w:tc>
        <w:tc>
          <w:tcPr/>
          <w:p>
            <w:pPr>
              <w:pStyle w:val="Compact"/>
              <w:jc w:val="left"/>
            </w:pPr>
            <w:r>
              <w:t xml:space="preserve">25%</w:t>
            </w:r>
          </w:p>
        </w:tc>
        <w:tc>
          <w:tcPr/>
          <w:p>
            <w:pPr>
              <w:pStyle w:val="Compact"/>
              <w:jc w:val="left"/>
            </w:pPr>
            <w:r>
              <w:t xml:space="preserve">$49,818</w:t>
            </w:r>
          </w:p>
        </w:tc>
        <w:tc>
          <w:tcPr/>
          <w:p>
            <w:pPr>
              <w:pStyle w:val="Compact"/>
              <w:jc w:val="left"/>
            </w:pPr>
            <w:r>
              <w:t xml:space="preserve">Upon verified arrival</w:t>
            </w:r>
          </w:p>
        </w:tc>
      </w:tr>
      <w:tr>
        <w:tc>
          <w:tcPr/>
          <w:p>
            <w:pPr>
              <w:pStyle w:val="Compact"/>
              <w:jc w:val="left"/>
            </w:pPr>
            <w:r>
              <w:t xml:space="preserve">Mid-Project Review (Month 6)</w:t>
            </w:r>
          </w:p>
        </w:tc>
        <w:tc>
          <w:tcPr/>
          <w:p>
            <w:pPr>
              <w:pStyle w:val="Compact"/>
              <w:jc w:val="left"/>
            </w:pPr>
            <w:r>
              <w:t xml:space="preserve">25%</w:t>
            </w:r>
          </w:p>
        </w:tc>
        <w:tc>
          <w:tcPr/>
          <w:p>
            <w:pPr>
              <w:pStyle w:val="Compact"/>
              <w:jc w:val="left"/>
            </w:pPr>
            <w:r>
              <w:t xml:space="preserve">$49,818</w:t>
            </w:r>
          </w:p>
        </w:tc>
        <w:tc>
          <w:tcPr/>
          <w:p>
            <w:pPr>
              <w:pStyle w:val="Compact"/>
              <w:jc w:val="left"/>
            </w:pPr>
            <w:r>
              <w:t xml:space="preserve">End of Month 6</w:t>
            </w:r>
          </w:p>
        </w:tc>
      </w:tr>
      <w:tr>
        <w:tc>
          <w:tcPr/>
          <w:p>
            <w:pPr>
              <w:pStyle w:val="Compact"/>
              <w:jc w:val="left"/>
            </w:pPr>
            <w:r>
              <w:t xml:space="preserve">Project Completion &amp; Final Report</w:t>
            </w:r>
          </w:p>
        </w:tc>
        <w:tc>
          <w:tcPr/>
          <w:p>
            <w:pPr>
              <w:pStyle w:val="Compact"/>
              <w:jc w:val="left"/>
            </w:pPr>
            <w:r>
              <w:t xml:space="preserve">20%</w:t>
            </w:r>
          </w:p>
        </w:tc>
        <w:tc>
          <w:tcPr/>
          <w:p>
            <w:pPr>
              <w:pStyle w:val="Compact"/>
              <w:jc w:val="left"/>
            </w:pPr>
            <w:r>
              <w:t xml:space="preserve">$39,853</w:t>
            </w:r>
          </w:p>
        </w:tc>
        <w:tc>
          <w:tcPr/>
          <w:p>
            <w:pPr>
              <w:pStyle w:val="Compact"/>
              <w:jc w:val="left"/>
            </w:pPr>
            <w:r>
              <w:t xml:space="preserve">Within 30 days of completion</w:t>
            </w:r>
          </w:p>
        </w:tc>
      </w:tr>
    </w:tbl>
    <w:p>
      <w:pPr>
        <w:pStyle w:val="BodyText"/>
      </w:pPr>
      <w:r>
        <w:t xml:space="preserve">5. Terms and Conditions</w:t>
      </w:r>
    </w:p>
    <w:p>
      <w:pPr>
        <w:numPr>
          <w:ilvl w:val="0"/>
          <w:numId w:val="1001"/>
        </w:numPr>
        <w:pStyle w:val="Compact"/>
      </w:pPr>
      <w:r>
        <w:t xml:space="preserve">This Quotation Estimate is valid for thirty (30) calendar days from the date of issue. Any request for extension must be submitted in writing to the undersigned office in Iraq Baghdad.</w:t>
      </w:r>
    </w:p>
    <w:p>
      <w:pPr>
        <w:numPr>
          <w:ilvl w:val="0"/>
          <w:numId w:val="1001"/>
        </w:numPr>
        <w:pStyle w:val="Compact"/>
      </w:pPr>
      <w:r>
        <w:t xml:space="preserve">All prices are quoted in United States Dollars (USD) and are inclusive of applicable Iraqi Value Added Tax (VAT) at the prevailing rate of 3%.</w:t>
      </w:r>
    </w:p>
    <w:p>
      <w:pPr>
        <w:numPr>
          <w:ilvl w:val="0"/>
          <w:numId w:val="1001"/>
        </w:numPr>
        <w:pStyle w:val="Compact"/>
      </w:pPr>
      <w:r>
        <w:t xml:space="preserve">The Physicist shall comply with all laws, regulations, and institutional policies of the Republic of Iraq, including those enforced by the Ministry of Higher Education and Scientific Research in Baghdad.</w:t>
      </w:r>
    </w:p>
    <w:p>
      <w:pPr>
        <w:numPr>
          <w:ilvl w:val="0"/>
          <w:numId w:val="1001"/>
        </w:numPr>
        <w:pStyle w:val="Compact"/>
      </w:pPr>
      <w:r>
        <w:t xml:space="preserve">Any change in scope, duration, or deliverables must be documented through a formal Change Order signed by both parties prior to implementation.</w:t>
      </w:r>
    </w:p>
    <w:p>
      <w:pPr>
        <w:numPr>
          <w:ilvl w:val="0"/>
          <w:numId w:val="1001"/>
        </w:numPr>
        <w:pStyle w:val="Compact"/>
      </w:pPr>
      <w:r>
        <w:t xml:space="preserve">Payment delays exceeding fifteen (15) business days shall incur a late fee of 1.5% per month on the outstanding balance.</w:t>
      </w:r>
    </w:p>
    <w:p>
      <w:pPr>
        <w:numPr>
          <w:ilvl w:val="0"/>
          <w:numId w:val="1001"/>
        </w:numPr>
        <w:pStyle w:val="Compact"/>
      </w:pPr>
      <w:r>
        <w:t xml:space="preserve">The Physicist's intellectual property and research outputs shall be jointly owned by the contracting firm and the host institution in Iraq Baghdad, as stipulated in the separate IP Agreement.</w:t>
      </w:r>
    </w:p>
    <w:p>
      <w:pPr>
        <w:numPr>
          <w:ilvl w:val="0"/>
          <w:numId w:val="1001"/>
        </w:numPr>
        <w:pStyle w:val="Compact"/>
      </w:pPr>
      <w:r>
        <w:t xml:space="preserve">This Quotation Estimate does not constitute a binding contract until formally accepted in writing by the client and countersigned by Mesopotamia Scientific Consulting Group.</w:t>
      </w:r>
    </w:p>
    <w:p>
      <w:pPr>
        <w:numPr>
          <w:ilvl w:val="0"/>
          <w:numId w:val="1001"/>
        </w:numPr>
        <w:pStyle w:val="Compact"/>
      </w:pPr>
      <w:r>
        <w:t xml:space="preserve">Force majeure events, including but not limited to political instability, natural disasters, or government-imposed restrictions in Iraq Baghdad, shall be addressed through mutual consultation and may result in schedule adjustments without penalty.</w:t>
      </w:r>
    </w:p>
    <w:p>
      <w:pPr>
        <w:pStyle w:val="FirstParagraph"/>
      </w:pPr>
      <w:r>
        <w:t xml:space="preserve">6. Acceptance &amp; Authorization</w:t>
      </w:r>
    </w:p>
    <w:bookmarkStart w:id="21" w:name="prepared-by-supplier"/>
    <w:p>
      <w:pPr>
        <w:pStyle w:val="Heading4"/>
      </w:pPr>
      <w:r>
        <w:t xml:space="preserve">Prepared By (Supplier)</w:t>
      </w:r>
    </w:p>
    <w:p>
      <w:pPr>
        <w:pStyle w:val="FirstParagraph"/>
      </w:pPr>
      <w:r>
        <w:t xml:space="preserve">Mesopotamia Scientific Consulting Group</w:t>
      </w:r>
    </w:p>
    <w:p>
      <w:pPr>
        <w:pStyle w:val="BodyText"/>
      </w:pPr>
      <w:r>
        <w:t xml:space="preserve">Authorized Signatory: Dr. Layla Al-Hussein, Director</w:t>
      </w:r>
    </w:p>
    <w:p>
      <w:pPr>
        <w:pStyle w:val="BodyText"/>
      </w:pPr>
      <w:r>
        <w:t xml:space="preserve">Signature &amp; Date</w:t>
      </w:r>
    </w:p>
    <w:bookmarkEnd w:id="21"/>
    <w:bookmarkStart w:id="22" w:name="accepted-by-client"/>
    <w:p>
      <w:pPr>
        <w:pStyle w:val="Heading4"/>
      </w:pPr>
      <w:r>
        <w:t xml:space="preserve">Accepted By (Client)</w:t>
      </w:r>
    </w:p>
    <w:p>
      <w:pPr>
        <w:pStyle w:val="FirstParagraph"/>
      </w:pPr>
      <w:r>
        <w:t xml:space="preserve">University of Baghdad, Faculty of Science</w:t>
      </w:r>
    </w:p>
    <w:p>
      <w:pPr>
        <w:pStyle w:val="BodyText"/>
      </w:pPr>
      <w:r>
        <w:t xml:space="preserve">Authorized Signatory: Dr. Ahmed Al-Rashid, Head of Dept.</w:t>
      </w:r>
    </w:p>
    <w:p>
      <w:pPr>
        <w:pStyle w:val="BodyText"/>
      </w:pPr>
      <w:r>
        <w:t xml:space="preserve">Signature &amp; Date</w:t>
      </w:r>
    </w:p>
    <w:bookmarkEnd w:id="22"/>
    <w:p>
      <w:pPr>
        <w:pStyle w:val="BodyText"/>
      </w:pPr>
      <w:r>
        <w:t xml:space="preserve">This Quotation Estimate document (Ref: QTE-BGH-2025-0472) was prepared for the engagement of a Physicist in Iraq Baghdad. All information contained herein is confidential and intended solely for the named client. © 2025 Mesopotamia Scientific Consulting Group, Baghdad, Iraq.</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Physicist Services - Iraq Baghdad</dc:title>
  <dc:creator/>
  <dc:language>en</dc:language>
  <cp:keywords/>
  <dcterms:created xsi:type="dcterms:W3CDTF">2026-10-10T02:27:39Z</dcterms:created>
  <dcterms:modified xsi:type="dcterms:W3CDTF">2026-10-10T02:27:39Z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