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Physicist Consulting &amp; Technical Services</w:t>
      </w:r>
    </w:p>
    <w:p>
      <w:pPr>
        <w:pStyle w:val="BodyText"/>
      </w:pPr>
      <w:r>
        <w:t xml:space="preserve">Specialist Scientific Services – Italy Milan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QTE-MIL-2025-04871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Dr. Elena Marchetti, Lead Physicist – Quantum &amp; Applied Sciences Division</w:t>
            </w:r>
          </w:p>
        </w:tc>
      </w:tr>
      <w:tr>
        <w:tc>
          <w:tcPr/>
          <w:p>
            <w:pPr>
              <w:pStyle w:val="Compact"/>
              <w:jc w:val="left"/>
            </w:pPr>
            <w:r>
              <w:t xml:space="preserve">Company Address</w:t>
            </w:r>
          </w:p>
        </w:tc>
        <w:tc>
          <w:tcPr/>
          <w:p>
            <w:pPr>
              <w:pStyle w:val="Compact"/>
              <w:jc w:val="left"/>
            </w:pPr>
            <w:r>
              <w:t xml:space="preserve">Via della Scienza 42, 20121 Milan (MI), Italy</w:t>
            </w:r>
          </w:p>
        </w:tc>
      </w:tr>
      <w:tr>
        <w:tc>
          <w:tcPr/>
          <w:p>
            <w:pPr>
              <w:pStyle w:val="Compact"/>
              <w:jc w:val="left"/>
            </w:pPr>
            <w:r>
              <w:t xml:space="preserve">Contact</w:t>
            </w:r>
          </w:p>
        </w:tc>
        <w:tc>
          <w:tcPr/>
          <w:p>
            <w:pPr>
              <w:pStyle w:val="Compact"/>
              <w:jc w:val="left"/>
            </w:pPr>
            <w:r>
              <w:t xml:space="preserve">quotation@physicist-milano.it | +39 02 5551 8834</w:t>
            </w:r>
          </w:p>
        </w:tc>
      </w:tr>
      <w:tr>
        <w:tc>
          <w:tcPr/>
          <w:p>
            <w:pPr>
              <w:pStyle w:val="Compact"/>
              <w:jc w:val="left"/>
            </w:pPr>
            <w:r>
              <w:t xml:space="preserve">Client / Requesting Party</w:t>
            </w:r>
          </w:p>
        </w:tc>
        <w:tc>
          <w:tcPr/>
          <w:p>
            <w:pPr>
              <w:pStyle w:val="Compact"/>
              <w:jc w:val="left"/>
            </w:pPr>
            <w:r>
              <w:t xml:space="preserve">[Client Name &amp; Organization – to be inserted]</w:t>
            </w:r>
          </w:p>
        </w:tc>
      </w:tr>
      <w:tr>
        <w:tc>
          <w:tcPr/>
          <w:p>
            <w:pPr>
              <w:pStyle w:val="Compact"/>
              <w:jc w:val="left"/>
            </w:pPr>
            <w:r>
              <w:t xml:space="preserve">Project Location</w:t>
            </w:r>
          </w:p>
        </w:tc>
        <w:tc>
          <w:tcPr/>
          <w:p>
            <w:pPr>
              <w:pStyle w:val="Compact"/>
              <w:jc w:val="left"/>
            </w:pPr>
            <w:r>
              <w:t xml:space="preserve">Italy Milan – Primary Laboratory &amp; Field Operations</w:t>
            </w:r>
          </w:p>
        </w:tc>
      </w:tr>
    </w:tbl>
    <w:bookmarkStart w:id="21" w:name="purpose-of-this-quotation-estimate"/>
    <w:p>
      <w:pPr>
        <w:pStyle w:val="Heading2"/>
      </w:pPr>
      <w:r>
        <w:t xml:space="preserve">1. Purpose of This Quotation Estimate</w:t>
      </w:r>
    </w:p>
    <w:p>
      <w:pPr>
        <w:pStyle w:val="FirstParagraph"/>
      </w:pPr>
      <w:r>
        <w:t xml:space="preserve">This Quotation Estimate is issued to formally present the scope, deliverables, and associated costs for the engagement of a qualified Physicist to provide specialized scientific consulting, experimental design, data analysis, and technical advisory services within the metropolitan area of Italy Milan. The Physicist engaged under this Quotation Estimate shall operate in accordance with the Italian national standards for scientific research (UNI/ISO 17025) and shall comply with all applicable regulations of the Lombardy Region and the City of Milan regarding laboratory safety, data protection (GDPR), and professional conduct.</w:t>
      </w:r>
    </w:p>
    <w:bookmarkEnd w:id="21"/>
    <w:bookmarkStart w:id="22" w:name="scope-of-services-physicist-engagement"/>
    <w:p>
      <w:pPr>
        <w:pStyle w:val="Heading2"/>
      </w:pPr>
      <w:r>
        <w:t xml:space="preserve">2. Scope of Services – Physicist Engagement</w:t>
      </w:r>
    </w:p>
    <w:p>
      <w:pPr>
        <w:pStyle w:val="FirstParagraph"/>
      </w:pPr>
      <w:r>
        <w:t xml:space="preserve">The Physicist contracted under this Quotation Estimate will deliver the following services, all to be performed primarily at the client's facility in Italy Milan or at the designated research partner laboratories in the Milan metropolitan district:</w:t>
      </w:r>
    </w:p>
    <w:p>
      <w:pPr>
        <w:numPr>
          <w:ilvl w:val="0"/>
          <w:numId w:val="1001"/>
        </w:numPr>
        <w:pStyle w:val="Compact"/>
      </w:pPr>
      <w:r>
        <w:rPr>
          <w:bCs/>
          <w:b/>
        </w:rPr>
        <w:t xml:space="preserve">Applied Physics Consulting:</w:t>
      </w:r>
      <w:r>
        <w:t xml:space="preserve"> </w:t>
      </w:r>
      <w:r>
        <w:t xml:space="preserve">Assessment of experimental setups, theoretical modelling, and feasibility studies for the client's R&amp;D programme. The Physicist will conduct a minimum of 120 hours of on-site consulting in Italy Milan over the contract period.</w:t>
      </w:r>
    </w:p>
    <w:p>
      <w:pPr>
        <w:numPr>
          <w:ilvl w:val="0"/>
          <w:numId w:val="1001"/>
        </w:numPr>
        <w:pStyle w:val="Compact"/>
      </w:pPr>
      <w:r>
        <w:rPr>
          <w:bCs/>
          <w:b/>
        </w:rPr>
        <w:t xml:space="preserve">Experimental Design &amp; Optimization:</w:t>
      </w:r>
      <w:r>
        <w:t xml:space="preserve"> </w:t>
      </w:r>
      <w:r>
        <w:t xml:space="preserve">Full design of at least three (3) experimental protocols, including selection of instrumentation, calibration procedures, and error-analysis frameworks. All designs will be documented in bilingual (Italian/English) technical reports.</w:t>
      </w:r>
    </w:p>
    <w:p>
      <w:pPr>
        <w:numPr>
          <w:ilvl w:val="0"/>
          <w:numId w:val="1001"/>
        </w:numPr>
        <w:pStyle w:val="Compact"/>
      </w:pPr>
      <w:r>
        <w:rPr>
          <w:bCs/>
          <w:b/>
        </w:rPr>
        <w:t xml:space="preserve">Data Acquisition &amp; Analysis:</w:t>
      </w:r>
      <w:r>
        <w:t xml:space="preserve"> </w:t>
      </w:r>
      <w:r>
        <w:t xml:space="preserve">Supervision of data collection campaigns, statistical treatment of results, and preparation of peer-review-quality analytical reports. The Physicist will utilize advanced computational tools (MATLAB, Python/NumPy, ROOT) hosted on the client's secure servers in Italy Milan.</w:t>
      </w:r>
    </w:p>
    <w:p>
      <w:pPr>
        <w:numPr>
          <w:ilvl w:val="0"/>
          <w:numId w:val="1001"/>
        </w:numPr>
        <w:pStyle w:val="Compact"/>
      </w:pPr>
      <w:r>
        <w:rPr>
          <w:bCs/>
          <w:b/>
        </w:rPr>
        <w:t xml:space="preserve">Technical Reporting &amp; Presentation:</w:t>
      </w:r>
      <w:r>
        <w:t xml:space="preserve"> </w:t>
      </w:r>
      <w:r>
        <w:t xml:space="preserve">Delivery of a minimum of four (4) comprehensive technical reports and two (2) in-person presentations to the client's executive board, all conducted in Italy Milan.</w:t>
      </w:r>
    </w:p>
    <w:p>
      <w:pPr>
        <w:numPr>
          <w:ilvl w:val="0"/>
          <w:numId w:val="1001"/>
        </w:numPr>
        <w:pStyle w:val="Compact"/>
      </w:pPr>
      <w:r>
        <w:rPr>
          <w:bCs/>
          <w:b/>
        </w:rPr>
        <w:t xml:space="preserve">Regulatory &amp; Compliance Advisory:</w:t>
      </w:r>
      <w:r>
        <w:t xml:space="preserve"> </w:t>
      </w:r>
      <w:r>
        <w:t xml:space="preserve">Guidance on compliance with Italian Ministry of University and Research (MUR) guidelines, European Research Area (ERA) standards, and local Milan municipal permits for any experimental work involving ionizing radiation or controlled substances.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Senior Physicist – On-site Consulting (Italy Milan)</w:t>
            </w:r>
          </w:p>
        </w:tc>
        <w:tc>
          <w:tcPr/>
          <w:p>
            <w:pPr>
              <w:pStyle w:val="Compact"/>
              <w:jc w:val="left"/>
            </w:pPr>
            <w:r>
              <w:t xml:space="preserve">120 hrs</w:t>
            </w:r>
          </w:p>
        </w:tc>
        <w:tc>
          <w:tcPr/>
          <w:p>
            <w:pPr>
              <w:pStyle w:val="Compact"/>
              <w:jc w:val="left"/>
            </w:pPr>
            <w:r>
              <w:t xml:space="preserve">€ 185.00</w:t>
            </w:r>
          </w:p>
        </w:tc>
        <w:tc>
          <w:tcPr/>
          <w:p>
            <w:pPr>
              <w:pStyle w:val="Compact"/>
              <w:jc w:val="left"/>
            </w:pPr>
            <w:r>
              <w:t xml:space="preserve">€ 22,200.00</w:t>
            </w:r>
          </w:p>
        </w:tc>
        <w:tc>
          <w:tcPr/>
          <w:p>
            <w:pPr>
              <w:pStyle w:val="Compact"/>
              <w:jc w:val="left"/>
            </w:pPr>
            <w:r>
              <w:t xml:space="preserve">Months 1–6</w:t>
            </w:r>
          </w:p>
        </w:tc>
      </w:tr>
      <w:tr>
        <w:tc>
          <w:tcPr/>
          <w:p>
            <w:pPr>
              <w:pStyle w:val="Compact"/>
              <w:jc w:val="left"/>
            </w:pPr>
            <w:r>
              <w:t xml:space="preserve">02</w:t>
            </w:r>
          </w:p>
        </w:tc>
        <w:tc>
          <w:tcPr/>
          <w:p>
            <w:pPr>
              <w:pStyle w:val="Compact"/>
              <w:jc w:val="left"/>
            </w:pPr>
            <w:r>
              <w:t xml:space="preserve">Experimental Protocol Design &amp; Documentation</w:t>
            </w:r>
          </w:p>
        </w:tc>
        <w:tc>
          <w:tcPr/>
          <w:p>
            <w:pPr>
              <w:pStyle w:val="Compact"/>
              <w:jc w:val="left"/>
            </w:pPr>
            <w:r>
              <w:t xml:space="preserve">3 protocols</w:t>
            </w:r>
          </w:p>
        </w:tc>
        <w:tc>
          <w:tcPr/>
          <w:p>
            <w:pPr>
              <w:pStyle w:val="Compact"/>
              <w:jc w:val="left"/>
            </w:pPr>
            <w:r>
              <w:t xml:space="preserve">€ 4,500.00</w:t>
            </w:r>
          </w:p>
        </w:tc>
        <w:tc>
          <w:tcPr/>
          <w:p>
            <w:pPr>
              <w:pStyle w:val="Compact"/>
              <w:jc w:val="left"/>
            </w:pPr>
            <w:r>
              <w:t xml:space="preserve">€ 13,500.00</w:t>
            </w:r>
          </w:p>
        </w:tc>
        <w:tc>
          <w:tcPr/>
          <w:p>
            <w:pPr>
              <w:pStyle w:val="Compact"/>
              <w:jc w:val="left"/>
            </w:pPr>
            <w:r>
              <w:t xml:space="preserve">Months 2–4</w:t>
            </w:r>
          </w:p>
        </w:tc>
      </w:tr>
      <w:tr>
        <w:tc>
          <w:tcPr/>
          <w:p>
            <w:pPr>
              <w:pStyle w:val="Compact"/>
              <w:jc w:val="left"/>
            </w:pPr>
            <w:r>
              <w:t xml:space="preserve">03</w:t>
            </w:r>
          </w:p>
        </w:tc>
        <w:tc>
          <w:tcPr/>
          <w:p>
            <w:pPr>
              <w:pStyle w:val="Compact"/>
              <w:jc w:val="left"/>
            </w:pPr>
            <w:r>
              <w:t xml:space="preserve">Data Analysis &amp; Computational Modelling</w:t>
            </w:r>
          </w:p>
        </w:tc>
        <w:tc>
          <w:tcPr/>
          <w:p>
            <w:pPr>
              <w:pStyle w:val="Compact"/>
              <w:jc w:val="left"/>
            </w:pPr>
            <w:r>
              <w:t xml:space="preserve">200 hrs</w:t>
            </w:r>
          </w:p>
        </w:tc>
        <w:tc>
          <w:tcPr/>
          <w:p>
            <w:pPr>
              <w:pStyle w:val="Compact"/>
              <w:jc w:val="left"/>
            </w:pPr>
            <w:r>
              <w:t xml:space="preserve">€ 145.00</w:t>
            </w:r>
          </w:p>
        </w:tc>
        <w:tc>
          <w:tcPr/>
          <w:p>
            <w:pPr>
              <w:pStyle w:val="Compact"/>
              <w:jc w:val="left"/>
            </w:pPr>
            <w:r>
              <w:t xml:space="preserve">€ 29,000.00</w:t>
            </w:r>
          </w:p>
        </w:tc>
        <w:tc>
          <w:tcPr/>
          <w:p>
            <w:pPr>
              <w:pStyle w:val="Compact"/>
              <w:jc w:val="left"/>
            </w:pPr>
            <w:r>
              <w:t xml:space="preserve">Months 3–8</w:t>
            </w:r>
          </w:p>
        </w:tc>
      </w:tr>
      <w:tr>
        <w:tc>
          <w:tcPr/>
          <w:p>
            <w:pPr>
              <w:pStyle w:val="Compact"/>
              <w:jc w:val="left"/>
            </w:pPr>
            <w:r>
              <w:t xml:space="preserve">04</w:t>
            </w:r>
          </w:p>
        </w:tc>
        <w:tc>
          <w:tcPr/>
          <w:p>
            <w:pPr>
              <w:pStyle w:val="Compact"/>
              <w:jc w:val="left"/>
            </w:pPr>
            <w:r>
              <w:t xml:space="preserve">Technical Reports (bilingual IT/EN)</w:t>
            </w:r>
          </w:p>
        </w:tc>
        <w:tc>
          <w:tcPr/>
          <w:p>
            <w:pPr>
              <w:pStyle w:val="Compact"/>
              <w:jc w:val="left"/>
            </w:pPr>
            <w:r>
              <w:t xml:space="preserve">4 reports</w:t>
            </w:r>
          </w:p>
        </w:tc>
        <w:tc>
          <w:tcPr/>
          <w:p>
            <w:pPr>
              <w:pStyle w:val="Compact"/>
              <w:jc w:val="left"/>
            </w:pPr>
            <w:r>
              <w:t xml:space="preserve">€ 2,800.00</w:t>
            </w:r>
          </w:p>
        </w:tc>
        <w:tc>
          <w:tcPr/>
          <w:p>
            <w:pPr>
              <w:pStyle w:val="Compact"/>
              <w:jc w:val="left"/>
            </w:pPr>
            <w:r>
              <w:t xml:space="preserve">€ 11,200.00</w:t>
            </w:r>
          </w:p>
        </w:tc>
        <w:tc>
          <w:tcPr/>
          <w:p>
            <w:pPr>
              <w:pStyle w:val="Compact"/>
              <w:jc w:val="left"/>
            </w:pPr>
            <w:r>
              <w:t xml:space="preserve">Months 4–9</w:t>
            </w:r>
          </w:p>
        </w:tc>
      </w:tr>
      <w:tr>
        <w:tc>
          <w:tcPr/>
          <w:p>
            <w:pPr>
              <w:pStyle w:val="Compact"/>
              <w:jc w:val="left"/>
            </w:pPr>
            <w:r>
              <w:t xml:space="preserve">05</w:t>
            </w:r>
          </w:p>
        </w:tc>
        <w:tc>
          <w:tcPr/>
          <w:p>
            <w:pPr>
              <w:pStyle w:val="Compact"/>
              <w:jc w:val="left"/>
            </w:pPr>
            <w:r>
              <w:t xml:space="preserve">Executive Presentations in Italy Milan</w:t>
            </w:r>
          </w:p>
        </w:tc>
        <w:tc>
          <w:tcPr/>
          <w:p>
            <w:pPr>
              <w:pStyle w:val="Compact"/>
              <w:jc w:val="left"/>
            </w:pPr>
            <w:r>
              <w:t xml:space="preserve">2 sessions</w:t>
            </w:r>
          </w:p>
        </w:tc>
        <w:tc>
          <w:tcPr/>
          <w:p>
            <w:pPr>
              <w:pStyle w:val="Compact"/>
              <w:jc w:val="left"/>
            </w:pPr>
            <w:r>
              <w:t xml:space="preserve">€ 3,200.00</w:t>
            </w:r>
          </w:p>
        </w:tc>
        <w:tc>
          <w:tcPr/>
          <w:p>
            <w:pPr>
              <w:pStyle w:val="Compact"/>
              <w:jc w:val="left"/>
            </w:pPr>
            <w:r>
              <w:t xml:space="preserve">€ 6,400.00</w:t>
            </w:r>
          </w:p>
        </w:tc>
        <w:tc>
          <w:tcPr/>
          <w:p>
            <w:pPr>
              <w:pStyle w:val="Compact"/>
              <w:jc w:val="left"/>
            </w:pPr>
            <w:r>
              <w:t xml:space="preserve">Months 6 &amp; 9</w:t>
            </w:r>
          </w:p>
        </w:tc>
      </w:tr>
      <w:tr>
        <w:tc>
          <w:tcPr/>
          <w:p>
            <w:pPr>
              <w:pStyle w:val="Compact"/>
              <w:jc w:val="left"/>
            </w:pPr>
            <w:r>
              <w:t xml:space="preserve">06</w:t>
            </w:r>
          </w:p>
        </w:tc>
        <w:tc>
          <w:tcPr/>
          <w:p>
            <w:pPr>
              <w:pStyle w:val="Compact"/>
              <w:jc w:val="left"/>
            </w:pPr>
            <w:r>
              <w:t xml:space="preserve">Regulatory Compliance Advisory (MUR / ERA)</w:t>
            </w:r>
          </w:p>
        </w:tc>
        <w:tc>
          <w:tcPr/>
          <w:p>
            <w:pPr>
              <w:pStyle w:val="Compact"/>
              <w:jc w:val="left"/>
            </w:pPr>
            <w:r>
              <w:t xml:space="preserve">40 hrs</w:t>
            </w:r>
          </w:p>
        </w:tc>
        <w:tc>
          <w:tcPr/>
          <w:p>
            <w:pPr>
              <w:pStyle w:val="Compact"/>
              <w:jc w:val="left"/>
            </w:pPr>
            <w:r>
              <w:t xml:space="preserve">€ 160.00</w:t>
            </w:r>
          </w:p>
        </w:tc>
        <w:tc>
          <w:tcPr/>
          <w:p>
            <w:pPr>
              <w:pStyle w:val="Compact"/>
              <w:jc w:val="left"/>
            </w:pPr>
            <w:r>
              <w:t xml:space="preserve">€ 6,400.00</w:t>
            </w:r>
          </w:p>
        </w:tc>
        <w:tc>
          <w:tcPr/>
          <w:p>
            <w:pPr>
              <w:pStyle w:val="Compact"/>
              <w:jc w:val="left"/>
            </w:pPr>
            <w:r>
              <w:t xml:space="preserve">Months 1–10</w:t>
            </w:r>
          </w:p>
        </w:tc>
      </w:tr>
      <w:tr>
        <w:tc>
          <w:tcPr/>
          <w:p>
            <w:pPr>
              <w:pStyle w:val="Compact"/>
              <w:jc w:val="left"/>
            </w:pPr>
            <w:r>
              <w:t xml:space="preserve">07</w:t>
            </w:r>
          </w:p>
        </w:tc>
        <w:tc>
          <w:tcPr/>
          <w:p>
            <w:pPr>
              <w:pStyle w:val="Compact"/>
              <w:jc w:val="left"/>
            </w:pPr>
            <w:r>
              <w:t xml:space="preserve">Travel &amp; Local Transport within Milan Metro Area</w:t>
            </w:r>
          </w:p>
        </w:tc>
        <w:tc>
          <w:tcPr/>
          <w:p>
            <w:pPr>
              <w:pStyle w:val="Compact"/>
              <w:jc w:val="left"/>
            </w:pPr>
            <w:r>
              <w:t xml:space="preserve">Flat fee</w:t>
            </w:r>
          </w:p>
        </w:tc>
        <w:tc>
          <w:tcPr/>
          <w:p>
            <w:pPr>
              <w:pStyle w:val="Compact"/>
              <w:jc w:val="left"/>
            </w:pPr>
            <w:r>
              <w:t xml:space="preserve">€ 1,500.00</w:t>
            </w:r>
          </w:p>
        </w:tc>
        <w:tc>
          <w:tcPr/>
          <w:p>
            <w:pPr>
              <w:pStyle w:val="Compact"/>
              <w:jc w:val="left"/>
            </w:pPr>
            <w:r>
              <w:t xml:space="preserve">€ 1,500.00</w:t>
            </w:r>
          </w:p>
        </w:tc>
        <w:tc>
          <w:tcPr/>
          <w:p>
            <w:pPr>
              <w:pStyle w:val="Compact"/>
              <w:jc w:val="left"/>
            </w:pPr>
            <w:r>
              <w:t xml:space="preserve">Full term</w:t>
            </w:r>
          </w:p>
        </w:tc>
      </w:tr>
      <w:tr>
        <w:tc>
          <w:tcPr/>
          <w:p>
            <w:pPr>
              <w:pStyle w:val="Compact"/>
              <w:jc w:val="left"/>
            </w:pPr>
            <w:r>
              <w:t xml:space="preserve">08</w:t>
            </w:r>
          </w:p>
        </w:tc>
        <w:tc>
          <w:tcPr/>
          <w:p>
            <w:pPr>
              <w:pStyle w:val="Compact"/>
              <w:jc w:val="left"/>
            </w:pPr>
            <w:r>
              <w:t xml:space="preserve">Specialized Software Licences &amp; Cloud Compute (annual)</w:t>
            </w:r>
          </w:p>
        </w:tc>
        <w:tc>
          <w:tcPr/>
          <w:p>
            <w:pPr>
              <w:pStyle w:val="Compact"/>
              <w:jc w:val="left"/>
            </w:pPr>
            <w:r>
              <w:t xml:space="preserve">1 licence</w:t>
            </w:r>
          </w:p>
        </w:tc>
        <w:tc>
          <w:tcPr/>
          <w:p>
            <w:pPr>
              <w:pStyle w:val="Compact"/>
              <w:jc w:val="left"/>
            </w:pPr>
            <w:r>
              <w:t xml:space="preserve">€ 3,800.00</w:t>
            </w:r>
          </w:p>
        </w:tc>
        <w:tc>
          <w:tcPr/>
          <w:p>
            <w:pPr>
              <w:pStyle w:val="Compact"/>
              <w:jc w:val="left"/>
            </w:pPr>
            <w:r>
              <w:t xml:space="preserve">€ 3,800.00</w:t>
            </w:r>
          </w:p>
        </w:tc>
        <w:tc>
          <w:tcPr/>
          <w:p>
            <w:pPr>
              <w:pStyle w:val="Compact"/>
              <w:jc w:val="left"/>
            </w:pPr>
            <w:r>
              <w:t xml:space="preserve">Full term</w:t>
            </w:r>
          </w:p>
        </w:tc>
      </w:tr>
      <w:tr>
        <w:tc>
          <w:tcPr>
            <w:gridSpan w:val="4"/>
          </w:tcPr>
          <w:p>
            <w:pPr>
              <w:pStyle w:val="Compact"/>
              <w:jc w:val="left"/>
            </w:pPr>
            <w:r>
              <w:t xml:space="preserve">Subtotal</w:t>
            </w:r>
          </w:p>
        </w:tc>
        <w:tc>
          <w:tcPr/>
          <w:p>
            <w:pPr>
              <w:pStyle w:val="Compact"/>
              <w:jc w:val="left"/>
            </w:pPr>
            <w:r>
              <w:t xml:space="preserve">€ 94,000.00</w:t>
            </w:r>
          </w:p>
        </w:tc>
        <w:tc>
          <w:tcPr/>
          <w:p>
            <w:pPr>
              <w:pStyle w:val="Compact"/>
            </w:pPr>
          </w:p>
        </w:tc>
      </w:tr>
      <w:tr>
        <w:tc>
          <w:tcPr>
            <w:gridSpan w:val="4"/>
          </w:tcPr>
          <w:p>
            <w:pPr>
              <w:pStyle w:val="Compact"/>
              <w:jc w:val="left"/>
            </w:pPr>
            <w:r>
              <w:t xml:space="preserve">VAT (22% – Italian Standard Rate)</w:t>
            </w:r>
          </w:p>
        </w:tc>
        <w:tc>
          <w:tcPr/>
          <w:p>
            <w:pPr>
              <w:pStyle w:val="Compact"/>
              <w:jc w:val="left"/>
            </w:pPr>
            <w:r>
              <w:t xml:space="preserve">€ 20,680.00</w:t>
            </w:r>
          </w:p>
        </w:tc>
        <w:tc>
          <w:tcPr/>
          <w:p>
            <w:pPr>
              <w:pStyle w:val="Compact"/>
            </w:pPr>
          </w:p>
        </w:tc>
      </w:tr>
      <w:tr>
        <w:tc>
          <w:tcPr>
            <w:gridSpan w:val="4"/>
          </w:tcPr>
          <w:p>
            <w:pPr>
              <w:pStyle w:val="Compact"/>
              <w:jc w:val="left"/>
            </w:pPr>
            <w:r>
              <w:t xml:space="preserve">TOTAL AMOUNT DUE (EUR)</w:t>
            </w:r>
          </w:p>
        </w:tc>
        <w:tc>
          <w:tcPr/>
          <w:p>
            <w:pPr>
              <w:pStyle w:val="Compact"/>
              <w:jc w:val="left"/>
            </w:pPr>
            <w:r>
              <w:t xml:space="preserve">€ 114,680.00</w:t>
            </w:r>
          </w:p>
        </w:tc>
        <w:tc>
          <w:tcPr/>
          <w:p>
            <w:pPr>
              <w:pStyle w:val="Compact"/>
            </w:pP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made in three (3) instalments via bank transfer to the company's Italian IBAN account (details provided on the pro-forma invoice):</w:t>
      </w:r>
    </w:p>
    <w:p>
      <w:pPr>
        <w:numPr>
          <w:ilvl w:val="0"/>
          <w:numId w:val="1002"/>
        </w:numPr>
        <w:pStyle w:val="Compact"/>
      </w:pPr>
      <w:r>
        <w:rPr>
          <w:bCs/>
          <w:b/>
        </w:rPr>
        <w:t xml:space="preserve">Instalment 1 (30%):</w:t>
      </w:r>
      <w:r>
        <w:t xml:space="preserve"> </w:t>
      </w:r>
      <w:r>
        <w:t xml:space="preserve">€ 34,404.00 – due within 15 business days of acceptance of this Quotation Estimate.</w:t>
      </w:r>
    </w:p>
    <w:p>
      <w:pPr>
        <w:numPr>
          <w:ilvl w:val="0"/>
          <w:numId w:val="1002"/>
        </w:numPr>
        <w:pStyle w:val="Compact"/>
      </w:pPr>
      <w:r>
        <w:rPr>
          <w:bCs/>
          <w:b/>
        </w:rPr>
        <w:t xml:space="preserve">Instalment 2 (40%):</w:t>
      </w:r>
      <w:r>
        <w:t xml:space="preserve"> </w:t>
      </w:r>
      <w:r>
        <w:t xml:space="preserve">€ 45,872.00 – due upon completion of Month 4 deliverables.</w:t>
      </w:r>
    </w:p>
    <w:p>
      <w:pPr>
        <w:numPr>
          <w:ilvl w:val="0"/>
          <w:numId w:val="1002"/>
        </w:numPr>
        <w:pStyle w:val="Compact"/>
      </w:pPr>
      <w:r>
        <w:rPr>
          <w:bCs/>
          <w:b/>
        </w:rPr>
        <w:t xml:space="preserve">Instalment 3 (30%):</w:t>
      </w:r>
      <w:r>
        <w:t xml:space="preserve"> </w:t>
      </w:r>
      <w:r>
        <w:t xml:space="preserve">€ 34,404.00 – due upon final acceptance of all deliverables and submission of the closing report.</w:t>
      </w:r>
    </w:p>
    <w:p>
      <w:pPr>
        <w:pStyle w:val="FirstParagraph"/>
      </w:pPr>
      <w:r>
        <w:t xml:space="preserve">Late payments shall incur interest at the rate prescribed by Italian Legislative Decree 231/2002 (currently 1.5% per month above the ECB reference rate).</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a period of ninety (90) calendar days from the date of issue. Beyond this period, all rates are subject to revision based on prevailing market conditions in Italy Milan.</w:t>
      </w:r>
    </w:p>
    <w:p>
      <w:pPr>
        <w:numPr>
          <w:ilvl w:val="0"/>
          <w:numId w:val="1003"/>
        </w:numPr>
        <w:pStyle w:val="Compact"/>
      </w:pPr>
      <w:r>
        <w:t xml:space="preserve">The Physicist engaged under this Quotation Estimate shall maintain full professional liability insurance (RC Professionale) with a minimum coverage of € 1,000,000 per claim, as required by Italian professional regulations.</w:t>
      </w:r>
    </w:p>
    <w:p>
      <w:pPr>
        <w:numPr>
          <w:ilvl w:val="0"/>
          <w:numId w:val="1003"/>
        </w:numPr>
        <w:pStyle w:val="Compact"/>
      </w:pPr>
      <w:r>
        <w:t xml:space="preserve">All intellectual property generated during the course of the engagement shall be jointly owned by the client and the service provider, unless otherwise agreed in a separate IP addendum. The Physicist retains the right to publish anonymized findings in peer-reviewed journals, subject to a 30-day prior notice to the client.</w:t>
      </w:r>
    </w:p>
    <w:p>
      <w:pPr>
        <w:numPr>
          <w:ilvl w:val="0"/>
          <w:numId w:val="1003"/>
        </w:numPr>
        <w:pStyle w:val="Compact"/>
      </w:pPr>
      <w:r>
        <w:t xml:space="preserve">Confidentiality: The Physicist and all supporting personnel shall adhere to a strict Non-Disclosure Agreement (NDA) in compliance with Italian Law 633/1941 (Copyright) and EU Regulation 2016/679 (GDPR). All data processed in Italy Milan shall be stored on servers located within the European Economic Area.</w:t>
      </w:r>
    </w:p>
    <w:p>
      <w:pPr>
        <w:numPr>
          <w:ilvl w:val="0"/>
          <w:numId w:val="1003"/>
        </w:numPr>
        <w:pStyle w:val="Compact"/>
      </w:pPr>
      <w:r>
        <w:t xml:space="preserve">Force Majeure: Neither party shall be liable for delays caused by events beyond reasonable control, including but not limited to natural disasters, government-mandated closures in the Milan metropolitan area, or public-health emergencies.</w:t>
      </w:r>
    </w:p>
    <w:p>
      <w:pPr>
        <w:numPr>
          <w:ilvl w:val="0"/>
          <w:numId w:val="1003"/>
        </w:numPr>
        <w:pStyle w:val="Compact"/>
      </w:pPr>
      <w:r>
        <w:t xml:space="preserve">Governing Law: This Quotation Estimate and any resulting contract shall be governed by the laws of the Italian Republic. Any disputes shall be submitted to the exclusive jurisdiction of the Tribunale di Milano (Court of Milan), Italy.</w:t>
      </w:r>
    </w:p>
    <w:p>
      <w:pPr>
        <w:numPr>
          <w:ilvl w:val="0"/>
          <w:numId w:val="1003"/>
        </w:numPr>
        <w:pStyle w:val="Compact"/>
      </w:pPr>
      <w:r>
        <w:t xml:space="preserve">Termination: Either party may terminate the engagement with thirty (30) days' written notice. In such case, the client shall pay for all services rendered up to the termination date, as itemized in a final Quotation Estimate addendum.</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Physicist services in Italy Milan and authorizes the commencement of work upon receipt of Instalment 1. The Physicist's engagement shall be formally confirmed by a separate Service Agreement referencing Quotation Reference No. QTE-MIL-2025-04871.</w:t>
      </w:r>
    </w:p>
    <w:p>
      <w:pPr>
        <w:pStyle w:val="BodyText"/>
      </w:pPr>
      <w:r>
        <w:rPr>
          <w:bCs/>
          <w:b/>
        </w:rPr>
        <w:t xml:space="preserve">For the Service Provider</w:t>
      </w:r>
      <w:r>
        <w:br/>
      </w:r>
      <w:r>
        <w:t xml:space="preserve">Dr. Elena Marchetti – Lead Physicist</w:t>
      </w:r>
      <w:r>
        <w:br/>
      </w:r>
      <w:r>
        <w:t xml:space="preserve">Date: _______________</w:t>
      </w:r>
    </w:p>
    <w:p>
      <w:pPr>
        <w:pStyle w:val="BodyText"/>
      </w:pPr>
      <w:r>
        <w:rPr>
          <w:bCs/>
          <w:b/>
        </w:rPr>
        <w:t xml:space="preserve">For the Client / Requesting Party</w:t>
      </w:r>
      <w:r>
        <w:br/>
      </w:r>
      <w:r>
        <w:t xml:space="preserve">Name &amp; Title: _______________</w:t>
      </w:r>
      <w:r>
        <w:br/>
      </w:r>
      <w:r>
        <w:t xml:space="preserve">Date: _______________</w:t>
      </w:r>
    </w:p>
    <w:p>
      <w:pPr>
        <w:pStyle w:val="BodyText"/>
      </w:pPr>
      <w:r>
        <w:t xml:space="preserve">Quotation Estimate QTE-MIL-2025-04871 | Physicist Services | Italy Milan | Page 1 of 1</w:t>
      </w:r>
    </w:p>
    <w:p>
      <w:pPr>
        <w:pStyle w:val="BodyText"/>
      </w:pPr>
      <w:r>
        <w:t xml:space="preserve">This document is generated electronically and is valid without a physical stamp. For queries, contact quotation@physicist-milano.it.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Italy Milan</dc:title>
  <dc:creator/>
  <dc:language>en</dc:language>
  <cp:keywords/>
  <dcterms:created xsi:type="dcterms:W3CDTF">2026-10-10T01:52:33Z</dcterms:created>
  <dcterms:modified xsi:type="dcterms:W3CDTF">2026-10-10T01:52:33Z</dcterms:modified>
</cp:coreProperties>
</file>

<file path=docProps/custom.xml><?xml version="1.0" encoding="utf-8"?>
<Properties xmlns="http://schemas.openxmlformats.org/officeDocument/2006/custom-properties" xmlns:vt="http://schemas.openxmlformats.org/officeDocument/2006/docPropsVTypes"/>
</file>