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Physicist Consultation &amp; Research Services</w:t>
      </w:r>
    </w:p>
    <w:p>
      <w:pPr>
        <w:pStyle w:val="BodyText"/>
      </w:pPr>
      <w:r>
        <w:t xml:space="preserve">Prepared for Deployment in Japan Kyoto</w:t>
      </w:r>
    </w:p>
    <w:p>
      <w:pPr>
        <w:pStyle w:val="BodyText"/>
      </w:pPr>
      <w:r>
        <w:t xml:space="preserve">Document Reference: QE-PHY-KYO-2025-0417</w:t>
      </w:r>
    </w:p>
    <w:bookmarkEnd w:id="20"/>
    <w:p>
      <w:pPr>
        <w:pStyle w:val="BodyText"/>
      </w:pPr>
      <w:r>
        <w:rPr>
          <w:bCs/>
          <w:b/>
        </w:rPr>
        <w:t xml:space="preserve">Date of Issue:</w:t>
      </w:r>
      <w:r>
        <w:t xml:space="preserve"> </w:t>
      </w:r>
      <w:r>
        <w:t xml:space="preserve">17 June 2025</w:t>
      </w:r>
      <w:r>
        <w:br/>
      </w:r>
      <w:r>
        <w:rPr>
          <w:bCs/>
          <w:b/>
        </w:rPr>
        <w:t xml:space="preserve">Quotation Valid Until:</w:t>
      </w:r>
      <w:r>
        <w:t xml:space="preserve"> </w:t>
      </w:r>
      <w:r>
        <w:t xml:space="preserve">17 September 2025</w:t>
      </w:r>
      <w:r>
        <w:br/>
      </w:r>
      <w:r>
        <w:rPr>
          <w:bCs/>
          <w:b/>
        </w:rPr>
        <w:t xml:space="preserve">Currency:</w:t>
      </w:r>
      <w:r>
        <w:t xml:space="preserve"> </w:t>
      </w:r>
      <w:r>
        <w:t xml:space="preserve">Japanese Yen (JPY)</w:t>
      </w:r>
    </w:p>
    <w:p>
      <w:pPr>
        <w:pStyle w:val="BodyText"/>
      </w:pPr>
      <w:r>
        <w:rPr>
          <w:bCs/>
          <w:b/>
        </w:rPr>
        <w:t xml:space="preserve">Prepared By:</w:t>
      </w:r>
      <w:r>
        <w:t xml:space="preserve"> </w:t>
      </w:r>
      <w:r>
        <w:t xml:space="preserve">Dr. Kenji Tanaka, Lead Physicist</w:t>
      </w:r>
      <w:r>
        <w:br/>
      </w:r>
      <w:r>
        <w:rPr>
          <w:bCs/>
          <w:b/>
        </w:rPr>
        <w:t xml:space="preserve">Organization:</w:t>
      </w:r>
      <w:r>
        <w:t xml:space="preserve"> </w:t>
      </w:r>
      <w:r>
        <w:t xml:space="preserve">Kyoto Advanced Physics Institute</w:t>
      </w:r>
      <w:r>
        <w:br/>
      </w:r>
      <w:r>
        <w:rPr>
          <w:bCs/>
          <w:b/>
        </w:rPr>
        <w:t xml:space="preserve">Address:</w:t>
      </w:r>
      <w:r>
        <w:t xml:space="preserve"> </w:t>
      </w:r>
      <w:r>
        <w:t xml:space="preserve">2-12-1 Goryoekimachi, Sakyo-ku, Kyoto, Japan</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National Institute of Quantum Sciences, Kyoto Branch</w:t>
            </w:r>
          </w:p>
        </w:tc>
      </w:tr>
      <w:tr>
        <w:tc>
          <w:tcPr/>
          <w:p>
            <w:pPr>
              <w:pStyle w:val="Compact"/>
              <w:jc w:val="left"/>
            </w:pPr>
            <w:r>
              <w:rPr>
                <w:bCs/>
                <w:b/>
              </w:rPr>
              <w:t xml:space="preserve">Contact Person:</w:t>
            </w:r>
          </w:p>
        </w:tc>
        <w:tc>
          <w:tcPr/>
          <w:p>
            <w:pPr>
              <w:pStyle w:val="Compact"/>
              <w:jc w:val="left"/>
            </w:pPr>
            <w:r>
              <w:t xml:space="preserve">Prof. Yuki Nakamura, Director of Research</w:t>
            </w:r>
          </w:p>
        </w:tc>
      </w:tr>
      <w:tr>
        <w:tc>
          <w:tcPr/>
          <w:p>
            <w:pPr>
              <w:pStyle w:val="Compact"/>
              <w:jc w:val="left"/>
            </w:pPr>
            <w:r>
              <w:rPr>
                <w:bCs/>
                <w:b/>
              </w:rPr>
              <w:t xml:space="preserve">Project Location:</w:t>
            </w:r>
          </w:p>
        </w:tc>
        <w:tc>
          <w:tcPr/>
          <w:p>
            <w:pPr>
              <w:pStyle w:val="Compact"/>
              <w:jc w:val="left"/>
            </w:pPr>
            <w:r>
              <w:t xml:space="preserve">Japan Kyoto – Sakyo-ku Research Campus, Building C, Floor 4</w:t>
            </w:r>
          </w:p>
        </w:tc>
      </w:tr>
      <w:tr>
        <w:tc>
          <w:tcPr/>
          <w:p>
            <w:pPr>
              <w:pStyle w:val="Compact"/>
              <w:jc w:val="left"/>
            </w:pPr>
            <w:r>
              <w:rPr>
                <w:bCs/>
                <w:b/>
              </w:rPr>
              <w:t xml:space="preserve">Project Reference:</w:t>
            </w:r>
          </w:p>
        </w:tc>
        <w:tc>
          <w:tcPr/>
          <w:p>
            <w:pPr>
              <w:pStyle w:val="Compact"/>
              <w:jc w:val="left"/>
            </w:pPr>
            <w:r>
              <w:t xml:space="preserve">NQSK-2025-Phys-0092</w:t>
            </w:r>
          </w:p>
        </w:tc>
      </w:tr>
    </w:tbl>
    <w:bookmarkEnd w:id="21"/>
    <w:bookmarkStart w:id="22" w:name="Xc25b23d82cd7cd8042f716eea9a0618eb575131"/>
    <w:p>
      <w:pPr>
        <w:pStyle w:val="Heading2"/>
      </w:pPr>
      <w:r>
        <w:t xml:space="preserve">2. Scope of Services – Physicist Engagement in Japan Kyoto</w:t>
      </w:r>
    </w:p>
    <w:p>
      <w:pPr>
        <w:pStyle w:val="FirstParagraph"/>
      </w:pPr>
      <w:r>
        <w:t xml:space="preserve">This</w:t>
      </w:r>
      <w:r>
        <w:t xml:space="preserve"> </w:t>
      </w:r>
      <w:r>
        <w:t xml:space="preserve">Quotation Estimate</w:t>
      </w:r>
      <w:r>
        <w:t xml:space="preserve"> </w:t>
      </w:r>
      <w:r>
        <w:t xml:space="preserve">outlines the comprehensive professional services to be rendered by a senior</w:t>
      </w:r>
      <w:r>
        <w:t xml:space="preserve"> </w:t>
      </w:r>
      <w:r>
        <w:t xml:space="preserve">Physicist</w:t>
      </w:r>
      <w:r>
        <w:t xml:space="preserve"> </w:t>
      </w:r>
      <w:r>
        <w:t xml:space="preserve">specializing in condensed matter physics and quantum field theory. The engagement is specifically tailored for the research and development activities conducted at the National Institute of Quantum Sciences facility located in</w:t>
      </w:r>
      <w:r>
        <w:t xml:space="preserve"> </w:t>
      </w:r>
      <w:r>
        <w:t xml:space="preserve">Japan Kyoto</w:t>
      </w:r>
      <w:r>
        <w:t xml:space="preserve">. The Physicist will be embedded within the existing research team for a period of twelve (12) months, contributing to ongoing experiments, theoretical modeling, data analysis, and collaborative publications.</w:t>
      </w:r>
    </w:p>
    <w:p>
      <w:pPr>
        <w:pStyle w:val="BodyText"/>
      </w:pPr>
      <w:r>
        <w:t xml:space="preserve">The scope encompasses laboratory supervision, peer review of experimental protocols, mentorship of junior research staff, and participation in international symposiums hosted in Kyoto and surrounding regions. All work will be performed in accordance with the ethical and regulatory standards established by the Japanese Ministry of Education, Culture, Sports, Science and Technology (MEXT).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Senior Physicist – Monthly Professional Fee (Full-time engagement in Japan Kyoto laboratory)</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Quantum Field Theory Modeling &amp; Simulation (GPU cluster access and software licensing)</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Laboratory Equipment Calibration &amp; Maintenance Oversight (Cryogenic systems, particle detectors)</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04</w:t>
            </w:r>
          </w:p>
        </w:tc>
        <w:tc>
          <w:tcPr/>
          <w:p>
            <w:pPr>
              <w:pStyle w:val="Compact"/>
              <w:jc w:val="left"/>
            </w:pPr>
            <w:r>
              <w:t xml:space="preserve">Peer Review &amp; Manuscript Preparation for International Journals (minimum 4 publications)</w:t>
            </w:r>
          </w:p>
        </w:tc>
        <w:tc>
          <w:tcPr/>
          <w:p>
            <w:pPr>
              <w:pStyle w:val="Compact"/>
              <w:jc w:val="left"/>
            </w:pPr>
            <w:r>
              <w:t xml:space="preserve">4 reports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05</w:t>
            </w:r>
          </w:p>
        </w:tc>
        <w:tc>
          <w:tcPr/>
          <w:p>
            <w:pPr>
              <w:pStyle w:val="Compact"/>
              <w:jc w:val="left"/>
            </w:pPr>
            <w:r>
              <w:t xml:space="preserve">Mentorship Program – Supervision of 6 Graduate Research Assistants in Kyoto</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Travel &amp; Accommodation (Relocation to Japan Kyoto, local transport, conference attendance)</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07</w:t>
            </w:r>
          </w:p>
        </w:tc>
        <w:tc>
          <w:tcPr/>
          <w:p>
            <w:pPr>
              <w:pStyle w:val="Compact"/>
              <w:jc w:val="left"/>
            </w:pPr>
            <w:r>
              <w:t xml:space="preserve">Insurance &amp; Liability Coverage (Professional indemnity, health insurance per Japanese regulations)</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08</w:t>
            </w:r>
          </w:p>
        </w:tc>
        <w:tc>
          <w:tcPr/>
          <w:p>
            <w:pPr>
              <w:pStyle w:val="Compact"/>
              <w:jc w:val="left"/>
            </w:pPr>
            <w:r>
              <w:t xml:space="preserve">Administrative &amp; Visa Support (Work permit processing, residency registration in Kyoto Prefecture)</w:t>
            </w:r>
          </w:p>
        </w:tc>
        <w:tc>
          <w:tcPr/>
          <w:p>
            <w:pPr>
              <w:pStyle w:val="Compact"/>
              <w:jc w:val="left"/>
            </w:pPr>
            <w:r>
              <w:t xml:space="preserve">One-time</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left"/>
            </w:pPr>
            <w:r>
              <w:t xml:space="preserve">TOTAL ESTIMATED COST (Before Tax)</w:t>
            </w:r>
          </w:p>
        </w:tc>
        <w:tc>
          <w:tcPr/>
          <w:p>
            <w:pPr>
              <w:pStyle w:val="Compact"/>
              <w:jc w:val="left"/>
            </w:pPr>
            <w:r>
              <w:t xml:space="preserve">40,960,000 JPY</w:t>
            </w:r>
          </w:p>
        </w:tc>
      </w:tr>
      <w:tr>
        <w:tc>
          <w:tcPr>
            <w:gridSpan w:val="4"/>
          </w:tcPr>
          <w:p>
            <w:pPr>
              <w:pStyle w:val="Compact"/>
              <w:jc w:val="left"/>
            </w:pPr>
            <w:r>
              <w:t xml:space="preserve">Consumption Tax (10%)</w:t>
            </w:r>
          </w:p>
        </w:tc>
        <w:tc>
          <w:tcPr/>
          <w:p>
            <w:pPr>
              <w:pStyle w:val="Compact"/>
              <w:jc w:val="left"/>
            </w:pPr>
            <w:r>
              <w:t xml:space="preserve">4,096,000 JPY</w:t>
            </w:r>
          </w:p>
        </w:tc>
      </w:tr>
      <w:tr>
        <w:tc>
          <w:tcPr>
            <w:gridSpan w:val="4"/>
          </w:tcPr>
          <w:p>
            <w:pPr>
              <w:pStyle w:val="Compact"/>
              <w:jc w:val="left"/>
            </w:pPr>
            <w:r>
              <w:t xml:space="preserve">GRAND TOTAL</w:t>
            </w:r>
          </w:p>
        </w:tc>
        <w:tc>
          <w:tcPr/>
          <w:p>
            <w:pPr>
              <w:pStyle w:val="Compact"/>
              <w:jc w:val="left"/>
            </w:pPr>
            <w:r>
              <w:t xml:space="preserve">45,056,000 JPY</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days from the date of issue. Beyond this period, pricing may be subject to revision based on market conditions in Japan Kyoto and currency fluctuations.</w:t>
      </w:r>
    </w:p>
    <w:p>
      <w:pPr>
        <w:numPr>
          <w:ilvl w:val="0"/>
          <w:numId w:val="1001"/>
        </w:numPr>
        <w:pStyle w:val="Compact"/>
      </w:pPr>
      <w:r>
        <w:t xml:space="preserve">Payment terms: 30% advance payment upon contract execution, 40% at the six-month milestone, and 30% upon successful completion of the twelve-month engagement.</w:t>
      </w:r>
    </w:p>
    <w:p>
      <w:pPr>
        <w:numPr>
          <w:ilvl w:val="0"/>
          <w:numId w:val="1001"/>
        </w:numPr>
        <w:pStyle w:val="Compact"/>
      </w:pPr>
      <w:r>
        <w:t xml:space="preserve">The Physicist shall comply with all applicable Japanese labor laws, tax obligations, and institutional policies of the host organization in Kyoto.</w:t>
      </w:r>
    </w:p>
    <w:p>
      <w:pPr>
        <w:numPr>
          <w:ilvl w:val="0"/>
          <w:numId w:val="1001"/>
        </w:numPr>
        <w:pStyle w:val="Compact"/>
      </w:pPr>
      <w:r>
        <w:t xml:space="preserve">Any additional services beyond the scope defined in Section 2 shall be subject to a separate supplementary Quotation Estimate issued by the undersigned.</w:t>
      </w:r>
    </w:p>
    <w:p>
      <w:pPr>
        <w:numPr>
          <w:ilvl w:val="0"/>
          <w:numId w:val="1001"/>
        </w:numPr>
        <w:pStyle w:val="Compact"/>
      </w:pPr>
      <w:r>
        <w:t xml:space="preserve">Confidentiality: All research data, experimental results, and proprietary methodologies developed during the engagement in Japan Kyoto shall remain the intellectual property of the client institution.</w:t>
      </w:r>
    </w:p>
    <w:p>
      <w:pPr>
        <w:numPr>
          <w:ilvl w:val="0"/>
          <w:numId w:val="1001"/>
        </w:numPr>
        <w:pStyle w:val="Compact"/>
      </w:pPr>
      <w:r>
        <w:t xml:space="preserve">Termination: Either party may terminate the engagement with sixty (60) days written notice. In such cases, fees will be prorated based on services rendered up to the termination date.</w:t>
      </w:r>
    </w:p>
    <w:p>
      <w:pPr>
        <w:numPr>
          <w:ilvl w:val="0"/>
          <w:numId w:val="1001"/>
        </w:numPr>
        <w:pStyle w:val="Compact"/>
      </w:pPr>
      <w:r>
        <w:t xml:space="preserve">This Quotation Estimate does not constitute a binding contract until formally accepted in writing by both parties and countersigned by authorized representatives.</w:t>
      </w:r>
    </w:p>
    <w:p>
      <w:pPr>
        <w:numPr>
          <w:ilvl w:val="0"/>
          <w:numId w:val="1001"/>
        </w:numPr>
        <w:pStyle w:val="Compact"/>
      </w:pPr>
      <w:r>
        <w:t xml:space="preserve">All disputes arising from this engagement shall be resolved under the jurisdiction of the Kyoto District Court, Japan.</w:t>
      </w:r>
    </w:p>
    <w:bookmarkEnd w:id="24"/>
    <w:bookmarkStart w:id="25" w:name="acceptance-and-authorization"/>
    <w:p>
      <w:pPr>
        <w:pStyle w:val="Heading2"/>
      </w:pPr>
      <w:r>
        <w:t xml:space="preserve">5. Acceptance and Authorization</w:t>
      </w:r>
    </w:p>
    <w:p>
      <w:pPr>
        <w:pStyle w:val="FirstParagraph"/>
      </w:pPr>
      <w:r>
        <w:rPr>
          <w:bCs/>
          <w:b/>
        </w:rPr>
        <w:t xml:space="preserve">Prepared by (Service Provider):</w:t>
      </w:r>
    </w:p>
    <w:p>
      <w:pPr>
        <w:pStyle w:val="BodyText"/>
      </w:pPr>
      <w:r>
        <w:t xml:space="preserve">Dr. Kenji Tanaka</w:t>
      </w:r>
      <w:r>
        <w:br/>
      </w:r>
      <w:r>
        <w:t xml:space="preserve">Lead Physicist, Kyoto Advanced Physics Institute</w:t>
      </w:r>
      <w:r>
        <w:br/>
      </w:r>
      <w:r>
        <w:t xml:space="preserve">Date: _______________</w:t>
      </w:r>
    </w:p>
    <w:p>
      <w:pPr>
        <w:pStyle w:val="BodyText"/>
      </w:pPr>
      <w:r>
        <w:rPr>
          <w:bCs/>
          <w:b/>
        </w:rPr>
        <w:t xml:space="preserve">Accepted by (Client):</w:t>
      </w:r>
    </w:p>
    <w:p>
      <w:pPr>
        <w:pStyle w:val="BodyText"/>
      </w:pPr>
      <w:r>
        <w:t xml:space="preserve">Prof. Yuki Nakamura</w:t>
      </w:r>
      <w:r>
        <w:br/>
      </w:r>
      <w:r>
        <w:t xml:space="preserve">Director, National Institute of Quantum Sciences</w:t>
      </w:r>
      <w:r>
        <w:br/>
      </w:r>
      <w:r>
        <w:t xml:space="preserve">Date: _______________</w:t>
      </w:r>
    </w:p>
    <w:p>
      <w:pPr>
        <w:pStyle w:val="BodyText"/>
      </w:pPr>
      <w:r>
        <w:rPr>
          <w:bCs/>
          <w:b/>
        </w:rPr>
        <w:t xml:space="preserve">Note:</w:t>
      </w:r>
      <w:r>
        <w:t xml:space="preserve"> </w:t>
      </w:r>
      <w:r>
        <w:t xml:space="preserve">This Quotation Estimate for Physicist services in Japan Kyoto has been prepared in accordance with the standard fee schedules of the Kyoto Advanced Physics Institute. All figures are denominated in Japanese Yen (JPY). For inquiries or amendments, please contact the administrative office at kyoto-phys@kapi.ac.jp or telephone +81-75-000-0000. This document is the property of the issuing institution and may not be reproduced without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Japan Kyoto</dc:title>
  <dc:creator/>
  <dc:language>en</dc:language>
  <cp:keywords/>
  <dcterms:created xsi:type="dcterms:W3CDTF">2026-10-10T02:29:11Z</dcterms:created>
  <dcterms:modified xsi:type="dcterms:W3CDTF">2026-10-10T02:29:11Z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