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Physicist Services — Russia Moscow</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QTE-RM-2025-04871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Elena V. Sokolova, Senior Consultant, Moscow Scientific Advisory Group LLC</w:t>
            </w:r>
          </w:p>
        </w:tc>
      </w:tr>
      <w:tr>
        <w:tc>
          <w:tcPr/>
          <w:p>
            <w:pPr>
              <w:pStyle w:val="Compact"/>
              <w:jc w:val="left"/>
            </w:pPr>
            <w:r>
              <w:t xml:space="preserve">Address</w:t>
            </w:r>
          </w:p>
        </w:tc>
        <w:tc>
          <w:tcPr/>
          <w:p>
            <w:pPr>
              <w:pStyle w:val="Compact"/>
              <w:jc w:val="left"/>
            </w:pPr>
            <w:r>
              <w:t xml:space="preserve">12 Leninsky Gully Street, Building 4, Moscow, 119019, Russian Federation</w:t>
            </w:r>
          </w:p>
        </w:tc>
      </w:tr>
      <w:tr>
        <w:tc>
          <w:tcPr/>
          <w:p>
            <w:pPr>
              <w:pStyle w:val="Compact"/>
              <w:jc w:val="left"/>
            </w:pPr>
            <w:r>
              <w:t xml:space="preserve">Client</w:t>
            </w:r>
          </w:p>
        </w:tc>
        <w:tc>
          <w:tcPr/>
          <w:p>
            <w:pPr>
              <w:pStyle w:val="Compact"/>
              <w:jc w:val="left"/>
            </w:pPr>
            <w:r>
              <w:t xml:space="preserve">State Research Institute of Applied Physics, Moscow, Russia</w:t>
            </w:r>
          </w:p>
        </w:tc>
      </w:tr>
      <w:tr>
        <w:tc>
          <w:tcPr/>
          <w:p>
            <w:pPr>
              <w:pStyle w:val="Compact"/>
              <w:jc w:val="left"/>
            </w:pPr>
            <w:r>
              <w:t xml:space="preserve">Project Reference</w:t>
            </w:r>
          </w:p>
        </w:tc>
        <w:tc>
          <w:tcPr/>
          <w:p>
            <w:pPr>
              <w:pStyle w:val="Compact"/>
              <w:jc w:val="left"/>
            </w:pPr>
            <w:r>
              <w:t xml:space="preserve">Engagement of a Senior Physicist for Quantum Materials Research Programme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Moscow Scientific Advisory Group LLC in response to the formal request for the professional engagement of a</w:t>
      </w:r>
      <w:r>
        <w:t xml:space="preserve"> </w:t>
      </w:r>
      <w:r>
        <w:t xml:space="preserve">Physicist</w:t>
      </w:r>
      <w:r>
        <w:t xml:space="preserve"> </w:t>
      </w:r>
      <w:r>
        <w:t xml:space="preserve">to support the Quantum Materials Research Programme at the State Research Institute of Applied Physics, located in</w:t>
      </w:r>
      <w:r>
        <w:t xml:space="preserve"> </w:t>
      </w:r>
      <w:r>
        <w:t xml:space="preserve">Russia Moscow</w:t>
      </w:r>
      <w:r>
        <w:t xml:space="preserve">. The scope of this estimate covers the full spectrum of services, compensation, and ancillary costs associated with the recruitment, onboarding, and sustained professional engagement of a qualified Physicist for a period of twelve (12) months, commencing 1 September 2025.</w:t>
      </w:r>
    </w:p>
    <w:p>
      <w:pPr>
        <w:pStyle w:val="BodyText"/>
      </w:pPr>
      <w:r>
        <w:t xml:space="preserve">The</w:t>
      </w:r>
      <w:r>
        <w:t xml:space="preserve"> </w:t>
      </w:r>
      <w:r>
        <w:t xml:space="preserve">Physicist</w:t>
      </w:r>
      <w:r>
        <w:t xml:space="preserve"> </w:t>
      </w:r>
      <w:r>
        <w:t xml:space="preserve">to be engaged under this</w:t>
      </w:r>
      <w:r>
        <w:t xml:space="preserve"> </w:t>
      </w:r>
      <w:r>
        <w:t xml:space="preserve">Quotation Estimate</w:t>
      </w:r>
      <w:r>
        <w:t xml:space="preserve"> </w:t>
      </w:r>
      <w:r>
        <w:t xml:space="preserve">shall hold a minimum of a Doctor of Sciences (Dr. Sc.) or equivalent post-doctoral qualification in condensed matter physics, quantum field theory, or a closely related discipline. The candidate must possess a minimum of eight (8) years of documented research experience, with at least three (3) years conducted within a laboratory environment in</w:t>
      </w:r>
      <w:r>
        <w:t xml:space="preserve"> </w:t>
      </w:r>
      <w:r>
        <w:t xml:space="preserve">Russia Moscow</w:t>
      </w:r>
      <w:r>
        <w:t xml:space="preserve"> </w:t>
      </w:r>
      <w:r>
        <w:t xml:space="preserve">or another recognized research institution. Fluency in Russian is mandatory, and working proficiency in English is required for international collaboration and publication purposes.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 / Duration</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2.1</w:t>
            </w:r>
          </w:p>
        </w:tc>
        <w:tc>
          <w:tcPr/>
          <w:p>
            <w:pPr>
              <w:pStyle w:val="Compact"/>
              <w:jc w:val="left"/>
            </w:pPr>
            <w:r>
              <w:t xml:space="preserve">Monthly professional salary for the Physicist (Senior Research Level, Grade A)</w:t>
            </w:r>
          </w:p>
        </w:tc>
        <w:tc>
          <w:tcPr/>
          <w:p>
            <w:pPr>
              <w:pStyle w:val="Compact"/>
              <w:jc w:val="left"/>
            </w:pPr>
            <w:r>
              <w:t xml:space="preserve">12 months</w:t>
            </w:r>
          </w:p>
        </w:tc>
        <w:tc>
          <w:tcPr/>
          <w:p>
            <w:pPr>
              <w:pStyle w:val="Compact"/>
              <w:jc w:val="left"/>
            </w:pPr>
            <w:r>
              <w:t xml:space="preserve">385,000</w:t>
            </w:r>
          </w:p>
        </w:tc>
        <w:tc>
          <w:tcPr/>
          <w:p>
            <w:pPr>
              <w:pStyle w:val="Compact"/>
              <w:jc w:val="left"/>
            </w:pPr>
            <w:r>
              <w:t xml:space="preserve">4,620,000</w:t>
            </w:r>
          </w:p>
        </w:tc>
      </w:tr>
      <w:tr>
        <w:tc>
          <w:tcPr/>
          <w:p>
            <w:pPr>
              <w:pStyle w:val="Compact"/>
              <w:jc w:val="left"/>
            </w:pPr>
            <w:r>
              <w:t xml:space="preserve">2.2</w:t>
            </w:r>
          </w:p>
        </w:tc>
        <w:tc>
          <w:tcPr/>
          <w:p>
            <w:pPr>
              <w:pStyle w:val="Compact"/>
              <w:jc w:val="left"/>
            </w:pPr>
            <w:r>
              <w:t xml:space="preserve">Statutory social insurance contributions (pension, medical, unemployment) as mandated by Russian Federation labour law</w:t>
            </w:r>
          </w:p>
        </w:tc>
        <w:tc>
          <w:tcPr/>
          <w:p>
            <w:pPr>
              <w:pStyle w:val="Compact"/>
              <w:jc w:val="left"/>
            </w:pPr>
            <w:r>
              <w:t xml:space="preserve">12 months</w:t>
            </w:r>
          </w:p>
        </w:tc>
        <w:tc>
          <w:tcPr/>
          <w:p>
            <w:pPr>
              <w:pStyle w:val="Compact"/>
              <w:jc w:val="left"/>
            </w:pPr>
            <w:r>
              <w:t xml:space="preserve">98,000</w:t>
            </w:r>
          </w:p>
        </w:tc>
        <w:tc>
          <w:tcPr/>
          <w:p>
            <w:pPr>
              <w:pStyle w:val="Compact"/>
              <w:jc w:val="left"/>
            </w:pPr>
            <w:r>
              <w:t xml:space="preserve">1,176,000</w:t>
            </w:r>
          </w:p>
        </w:tc>
      </w:tr>
      <w:tr>
        <w:tc>
          <w:tcPr/>
          <w:p>
            <w:pPr>
              <w:pStyle w:val="Compact"/>
              <w:jc w:val="left"/>
            </w:pPr>
            <w:r>
              <w:t xml:space="preserve">2.3</w:t>
            </w:r>
          </w:p>
        </w:tc>
        <w:tc>
          <w:tcPr/>
          <w:p>
            <w:pPr>
              <w:pStyle w:val="Compact"/>
              <w:jc w:val="left"/>
            </w:pPr>
            <w:r>
              <w:t xml:space="preserve">Annual research grant supplement for laboratory materials, reagents, and computational resources</w:t>
            </w:r>
          </w:p>
        </w:tc>
        <w:tc>
          <w:tcPr/>
          <w:p>
            <w:pPr>
              <w:pStyle w:val="Compact"/>
              <w:jc w:val="left"/>
            </w:pPr>
            <w:r>
              <w:t xml:space="preserve">1 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2.4</w:t>
            </w:r>
          </w:p>
        </w:tc>
        <w:tc>
          <w:tcPr/>
          <w:p>
            <w:pPr>
              <w:pStyle w:val="Compact"/>
              <w:jc w:val="left"/>
            </w:pPr>
            <w:r>
              <w:t xml:space="preserve">Recruitment and vetting services (background verification, academic reference checks, security clearance coordination for Russia Moscow facilities)</w:t>
            </w:r>
          </w:p>
        </w:tc>
        <w:tc>
          <w:tcPr/>
          <w:p>
            <w:pPr>
              <w:pStyle w:val="Compact"/>
              <w:jc w:val="left"/>
            </w:pPr>
            <w:r>
              <w:t xml:space="preserve">1 engagement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2.5</w:t>
            </w:r>
          </w:p>
        </w:tc>
        <w:tc>
          <w:tcPr/>
          <w:p>
            <w:pPr>
              <w:pStyle w:val="Compact"/>
              <w:jc w:val="left"/>
            </w:pPr>
            <w:r>
              <w:t xml:space="preserve">Onboarding and orientation programme (institutional protocols, laboratory safety training, IT systems access provisioning)</w:t>
            </w:r>
          </w:p>
        </w:tc>
        <w:tc>
          <w:tcPr/>
          <w:p>
            <w:pPr>
              <w:pStyle w:val="Compact"/>
              <w:jc w:val="left"/>
            </w:pPr>
            <w:r>
              <w:t xml:space="preserve">1 engagement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2.6</w:t>
            </w:r>
          </w:p>
        </w:tc>
        <w:tc>
          <w:tcPr/>
          <w:p>
            <w:pPr>
              <w:pStyle w:val="Compact"/>
              <w:jc w:val="left"/>
            </w:pPr>
            <w:r>
              <w:t xml:space="preserve">Annual professional development allowance (conference attendance, journal subscriptions, short-course training)</w:t>
            </w:r>
          </w:p>
        </w:tc>
        <w:tc>
          <w:tcPr/>
          <w:p>
            <w:pPr>
              <w:pStyle w:val="Compact"/>
              <w:jc w:val="left"/>
            </w:pPr>
            <w:r>
              <w:t xml:space="preserve">1 year</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2.7</w:t>
            </w:r>
          </w:p>
        </w:tc>
        <w:tc>
          <w:tcPr/>
          <w:p>
            <w:pPr>
              <w:pStyle w:val="Compact"/>
              <w:jc w:val="left"/>
            </w:pPr>
            <w:r>
              <w:t xml:space="preserve">Administrative and project management overhead (12% of direct personnel costs)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686,400</w:t>
            </w:r>
          </w:p>
        </w:tc>
      </w:tr>
      <w:tr>
        <w:tc>
          <w:tcPr/>
          <w:p>
            <w:pPr>
              <w:pStyle w:val="Compact"/>
              <w:jc w:val="left"/>
            </w:pPr>
            <w:r>
              <w:t xml:space="preserve">2.8</w:t>
            </w:r>
          </w:p>
        </w:tc>
        <w:tc>
          <w:tcPr/>
          <w:p>
            <w:pPr>
              <w:pStyle w:val="Compact"/>
              <w:jc w:val="left"/>
            </w:pPr>
            <w:r>
              <w:t xml:space="preserve">Value Added Tax (VAT) at 20% as applicable under Russian Federation tax code</w:t>
            </w:r>
          </w:p>
        </w:tc>
        <w:tc>
          <w:tcPr/>
          <w:p>
            <w:pPr>
              <w:pStyle w:val="Compact"/>
              <w:jc w:val="left"/>
            </w:pPr>
            <w:r>
              <w:t xml:space="preserve">—</w:t>
            </w:r>
          </w:p>
        </w:tc>
        <w:tc>
          <w:tcPr/>
          <w:p>
            <w:pPr>
              <w:pStyle w:val="Compact"/>
              <w:jc w:val="left"/>
            </w:pPr>
            <w:r>
              <w:t xml:space="preserve">—</w:t>
            </w:r>
          </w:p>
        </w:tc>
        <w:tc>
          <w:tcPr/>
          <w:p>
            <w:pPr>
              <w:pStyle w:val="Compact"/>
              <w:jc w:val="left"/>
            </w:pPr>
            <w:r>
              <w:t xml:space="preserve">1,433,280</w:t>
            </w:r>
          </w:p>
        </w:tc>
      </w:tr>
      <w:tr>
        <w:tc>
          <w:tcPr>
            <w:gridSpan w:val="4"/>
          </w:tcPr>
          <w:p>
            <w:pPr>
              <w:pStyle w:val="Compact"/>
              <w:jc w:val="left"/>
            </w:pPr>
            <w:r>
              <w:t xml:space="preserve">GRAND TOTAL (RUB)</w:t>
            </w:r>
          </w:p>
        </w:tc>
        <w:tc>
          <w:tcPr/>
          <w:p>
            <w:pPr>
              <w:pStyle w:val="Compact"/>
              <w:jc w:val="left"/>
            </w:pPr>
            <w:r>
              <w:t xml:space="preserve">8,615,680</w:t>
            </w:r>
          </w:p>
        </w:tc>
      </w:tr>
    </w:tbl>
    <w:bookmarkEnd w:id="22"/>
    <w:bookmarkStart w:id="23" w:name="Xaeb2a3d615d6d16598d7c4a6239546a2ffc1b56"/>
    <w:p>
      <w:pPr>
        <w:pStyle w:val="Heading2"/>
      </w:pPr>
      <w:r>
        <w:t xml:space="preserve">3. Deliverables and Performance Expectations</w:t>
      </w:r>
    </w:p>
    <w:p>
      <w:pPr>
        <w:pStyle w:val="FirstParagraph"/>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be expected to deliver the following within the twelve-month contract period:</w:t>
      </w:r>
    </w:p>
    <w:p>
      <w:pPr>
        <w:numPr>
          <w:ilvl w:val="0"/>
          <w:numId w:val="1001"/>
        </w:numPr>
        <w:pStyle w:val="Compact"/>
      </w:pPr>
      <w:r>
        <w:t xml:space="preserve">Completion of a minimum of two (2) peer-reviewed publications in internationally indexed journals (Scopus / Web of Science) related to quantum materials research.</w:t>
      </w:r>
    </w:p>
    <w:p>
      <w:pPr>
        <w:numPr>
          <w:ilvl w:val="0"/>
          <w:numId w:val="1001"/>
        </w:numPr>
        <w:pStyle w:val="Compact"/>
      </w:pPr>
      <w:r>
        <w:t xml:space="preserve">Participation in at least one (1) national or international scientific conference held in</w:t>
      </w:r>
      <w:r>
        <w:t xml:space="preserve"> </w:t>
      </w:r>
      <w:r>
        <w:t xml:space="preserve">Russia Moscow</w:t>
      </w:r>
      <w:r>
        <w:t xml:space="preserve"> </w:t>
      </w:r>
      <w:r>
        <w:t xml:space="preserve">or abroad, presenting original research findings.</w:t>
      </w:r>
    </w:p>
    <w:p>
      <w:pPr>
        <w:numPr>
          <w:ilvl w:val="0"/>
          <w:numId w:val="1001"/>
        </w:numPr>
        <w:pStyle w:val="Compact"/>
      </w:pPr>
      <w:r>
        <w:t xml:space="preserve">Supervision of no fewer than two (2) postgraduate research students (PhD candidates) affiliated with the Institute.</w:t>
      </w:r>
    </w:p>
    <w:p>
      <w:pPr>
        <w:numPr>
          <w:ilvl w:val="0"/>
          <w:numId w:val="1001"/>
        </w:numPr>
        <w:pStyle w:val="Compact"/>
      </w:pPr>
      <w:r>
        <w:t xml:space="preserve">Submission of a comprehensive annual research progress report to the Institute's Scientific Council by 31 August of the contract year.</w:t>
      </w:r>
    </w:p>
    <w:p>
      <w:pPr>
        <w:numPr>
          <w:ilvl w:val="0"/>
          <w:numId w:val="1001"/>
        </w:numPr>
        <w:pStyle w:val="Compact"/>
      </w:pPr>
      <w:r>
        <w:t xml:space="preserve">Maintenance of laboratory equipment and compliance with all safety and regulatory standards enforced by the Russian Federation's Federal Service for Supervision in the Sphere of Ecology, Technology and Nuclear Safety (Rostekhnadzor).</w:t>
      </w:r>
    </w:p>
    <w:bookmarkEnd w:id="23"/>
    <w:bookmarkStart w:id="24"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all rates and conditions are subject to revision without prior notice.</w:t>
      </w:r>
    </w:p>
    <w:p>
      <w:pPr>
        <w:numPr>
          <w:ilvl w:val="0"/>
          <w:numId w:val="1002"/>
        </w:numPr>
        <w:pStyle w:val="Compact"/>
      </w:pPr>
      <w:r>
        <w:rPr>
          <w:bCs/>
          <w:b/>
        </w:rPr>
        <w:t xml:space="preserve">Payment Terms:</w:t>
      </w:r>
      <w:r>
        <w:t xml:space="preserve"> </w:t>
      </w:r>
      <w:r>
        <w:t xml:space="preserve">Invoicing shall be conducted on a monthly basis. Payment is due within fifteen (15) business days of invoice receipt via bank transfer to the account of Moscow Scientific Advisory Group LLC, Sberbank, Moscow, Russia. Late payments shall accrue interest at the rate of 0.1% per calendar day.</w:t>
      </w:r>
    </w:p>
    <w:p>
      <w:pPr>
        <w:numPr>
          <w:ilvl w:val="0"/>
          <w:numId w:val="1002"/>
        </w:numPr>
        <w:pStyle w:val="Compact"/>
      </w:pPr>
      <w:r>
        <w:rPr>
          <w:bCs/>
          <w:b/>
        </w:rPr>
        <w:t xml:space="preserve">Contract Duration:</w:t>
      </w:r>
      <w:r>
        <w:t xml:space="preserve"> </w:t>
      </w:r>
      <w:r>
        <w:t xml:space="preserve">The engagement of the</w:t>
      </w:r>
      <w:r>
        <w:t xml:space="preserve"> </w:t>
      </w:r>
      <w:r>
        <w:t xml:space="preserve">Physicist</w:t>
      </w:r>
      <w:r>
        <w:t xml:space="preserve"> </w:t>
      </w:r>
      <w:r>
        <w:t xml:space="preserve">is for a fixed term of twelve (12) months, renewable by mutual written agreement no later than sixty (60) days prior to the expiry date.</w:t>
      </w:r>
    </w:p>
    <w:p>
      <w:pPr>
        <w:numPr>
          <w:ilvl w:val="0"/>
          <w:numId w:val="1002"/>
        </w:numPr>
        <w:pStyle w:val="Compact"/>
      </w:pPr>
      <w:r>
        <w:rPr>
          <w:bCs/>
          <w:b/>
        </w:rPr>
        <w:t xml:space="preserve">Termination:</w:t>
      </w:r>
      <w:r>
        <w:t xml:space="preserve"> </w:t>
      </w:r>
      <w:r>
        <w:t xml:space="preserve">Either party may terminate the engagement with thirty (30) days' written notice. In the event of termination for convenience, the client shall be liable for all costs incurred up to the effective date of termination as detailed in this</w:t>
      </w:r>
      <w:r>
        <w:t xml:space="preserve"> </w:t>
      </w:r>
      <w:r>
        <w:t xml:space="preserve">Quotation Estimate</w:t>
      </w:r>
      <w:r>
        <w:t xml:space="preserve">.</w:t>
      </w:r>
    </w:p>
    <w:p>
      <w:pPr>
        <w:numPr>
          <w:ilvl w:val="0"/>
          <w:numId w:val="1002"/>
        </w:numPr>
        <w:pStyle w:val="Compact"/>
      </w:pPr>
      <w:r>
        <w:rPr>
          <w:bCs/>
          <w:b/>
        </w:rPr>
        <w:t xml:space="preserve">Intellectual Property:</w:t>
      </w:r>
      <w:r>
        <w:t xml:space="preserve"> </w:t>
      </w:r>
      <w:r>
        <w:t xml:space="preserve">All research outputs, data, and publications generated by the</w:t>
      </w:r>
      <w:r>
        <w:t xml:space="preserve"> </w:t>
      </w:r>
      <w:r>
        <w:t xml:space="preserve">Physicist</w:t>
      </w:r>
      <w:r>
        <w:t xml:space="preserve"> </w:t>
      </w:r>
      <w:r>
        <w:t xml:space="preserve">during the term of engagement shall be the joint property of the Physicist and the State Research Institute, governed by the applicable provisions of the Civil Code of the Russian Federation.</w:t>
      </w:r>
    </w:p>
    <w:p>
      <w:pPr>
        <w:numPr>
          <w:ilvl w:val="0"/>
          <w:numId w:val="1002"/>
        </w:numPr>
        <w:pStyle w:val="Compact"/>
      </w:pPr>
      <w:r>
        <w:rPr>
          <w:bCs/>
          <w:b/>
        </w:rPr>
        <w:t xml:space="preserve">Confidentiality:</w:t>
      </w:r>
      <w:r>
        <w:t xml:space="preserve"> </w:t>
      </w:r>
      <w:r>
        <w:t xml:space="preserve">The</w:t>
      </w:r>
      <w:r>
        <w:t xml:space="preserve"> </w:t>
      </w:r>
      <w:r>
        <w:t xml:space="preserve">Physicist</w:t>
      </w:r>
      <w:r>
        <w:t xml:space="preserve"> </w:t>
      </w:r>
      <w:r>
        <w:t xml:space="preserve">shall be bound by a non-disclosure agreement (NDA) covering all proprietary data, experimental methodologies, and unpublished results encountered during the engagement in</w:t>
      </w:r>
      <w:r>
        <w:t xml:space="preserve"> </w:t>
      </w:r>
      <w:r>
        <w:t xml:space="preserve">Russia Moscow</w:t>
      </w:r>
      <w:r>
        <w:t xml:space="preserve">.</w:t>
      </w:r>
    </w:p>
    <w:p>
      <w:pPr>
        <w:numPr>
          <w:ilvl w:val="0"/>
          <w:numId w:val="1002"/>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Russian Federation. Disputes shall be resolved by arbitration at the Arbitration Court of the City of Moscow.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Moscow Scientific Advisory Group LLC to proceed with the recruitment and engagement of the</w:t>
      </w:r>
      <w:r>
        <w:t xml:space="preserve"> </w:t>
      </w:r>
      <w:r>
        <w:t xml:space="preserve">Physicist</w:t>
      </w:r>
      <w:r>
        <w:t xml:space="preserve"> </w:t>
      </w:r>
      <w:r>
        <w:t xml:space="preserve">as described herein for the</w:t>
      </w:r>
      <w:r>
        <w:t xml:space="preserve"> </w:t>
      </w:r>
      <w:r>
        <w:t xml:space="preserve">Russia Moscow</w:t>
      </w:r>
      <w:r>
        <w:t xml:space="preserve"> </w:t>
      </w:r>
      <w:r>
        <w:t xml:space="preserve">research facility.</w:t>
      </w:r>
    </w:p>
    <w:p>
      <w:pPr>
        <w:pStyle w:val="BodyText"/>
      </w:pPr>
      <w:r>
        <w:rPr>
          <w:bCs/>
          <w:b/>
        </w:rPr>
        <w:t xml:space="preserve">For Moscow Scientific Advisory Group LLC</w:t>
      </w:r>
      <w:r>
        <w:br/>
      </w:r>
      <w:r>
        <w:t xml:space="preserve">Dr. Elena V. Sokolova</w:t>
      </w:r>
      <w:r>
        <w:br/>
      </w:r>
      <w:r>
        <w:t xml:space="preserve">Senior Consultant / Authorizer</w:t>
      </w:r>
      <w:r>
        <w:br/>
      </w:r>
      <w:r>
        <w:t xml:space="preserve">Date: _______________</w:t>
      </w:r>
    </w:p>
    <w:p>
      <w:pPr>
        <w:pStyle w:val="BodyText"/>
      </w:pPr>
      <w:r>
        <w:rPr>
          <w:bCs/>
          <w:b/>
        </w:rPr>
        <w:t xml:space="preserve">For the Client (State Research Institute)</w:t>
      </w:r>
      <w:r>
        <w:br/>
      </w:r>
      <w:r>
        <w:t xml:space="preserve">Name: _________________________</w:t>
      </w:r>
      <w:r>
        <w:br/>
      </w:r>
      <w:r>
        <w:t xml:space="preserve">Title: _________________________</w:t>
      </w:r>
      <w:r>
        <w:br/>
      </w:r>
      <w:r>
        <w:t xml:space="preserve">Date: _______________</w:t>
      </w:r>
    </w:p>
    <w:p>
      <w:pPr>
        <w:pStyle w:val="BodyText"/>
      </w:pPr>
      <w:r>
        <w:rPr>
          <w:bCs/>
          <w:b/>
        </w:rPr>
        <w:t xml:space="preserve">Important Notice:</w:t>
      </w:r>
      <w:r>
        <w:t xml:space="preserve"> </w:t>
      </w:r>
      <w:r>
        <w:t xml:space="preserve">This Quotation Estimate is a non-binding document issued for planning and budgetary purposes only. It does not constitute a contractual obligation until a formal service agreement is executed by both parties. All monetary values are expressed in Russian Rubles (RUB) and are subject to the prevailing exchange rates and tax regulations in force in Russia Moscow at the time of invoicing. Moscow Scientific Advisory Group LLC reserves the right to amend any item in this estimate with written notice to the client. Document reference: QTE-RM-2025-04871.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Russia Moscow</dc:title>
  <dc:creator/>
  <dc:language>en</dc:language>
  <cp:keywords/>
  <dcterms:created xsi:type="dcterms:W3CDTF">2026-10-10T03:11:57Z</dcterms:created>
  <dcterms:modified xsi:type="dcterms:W3CDTF">2026-10-10T03:11:57Z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