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Physicist Consulting &amp; Technical Services</w:t>
      </w:r>
    </w:p>
    <w:p>
      <w:pPr>
        <w:pStyle w:val="BodyText"/>
      </w:pPr>
      <w:r>
        <w:t xml:space="preserve">Prepared for Deployment in Saudi Arabia Jeddah</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QE-2025-JED-PHY-0047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Prepared By:</w:t>
            </w:r>
          </w:p>
        </w:tc>
        <w:tc>
          <w:tcPr/>
          <w:p>
            <w:pPr>
              <w:pStyle w:val="Compact"/>
              <w:jc w:val="left"/>
            </w:pPr>
            <w:r>
              <w:t xml:space="preserve">Dr. Khalid Al-Rashid, Senior Technical Director</w:t>
            </w:r>
          </w:p>
        </w:tc>
        <w:tc>
          <w:tcPr/>
          <w:p>
            <w:pPr>
              <w:pStyle w:val="Compact"/>
              <w:jc w:val="left"/>
            </w:pPr>
            <w:r>
              <w:t xml:space="preserve">Location:</w:t>
            </w:r>
          </w:p>
        </w:tc>
        <w:tc>
          <w:tcPr/>
          <w:p>
            <w:pPr>
              <w:pStyle w:val="Compact"/>
              <w:jc w:val="left"/>
            </w:pPr>
            <w:r>
              <w:t xml:space="preserve">Jeddah, Saudi Arabia</w:t>
            </w:r>
          </w:p>
        </w:tc>
      </w:tr>
      <w:tr>
        <w:tc>
          <w:tcPr/>
          <w:p>
            <w:pPr>
              <w:pStyle w:val="Compact"/>
              <w:jc w:val="left"/>
            </w:pPr>
            <w:r>
              <w:t xml:space="preserve">Client / Requestor:</w:t>
            </w:r>
          </w:p>
        </w:tc>
        <w:tc>
          <w:tcPr/>
          <w:p>
            <w:pPr>
              <w:pStyle w:val="Compact"/>
              <w:jc w:val="left"/>
            </w:pPr>
            <w:r>
              <w:t xml:space="preserve">[Client Name / Organization]</w:t>
            </w:r>
          </w:p>
        </w:tc>
        <w:tc>
          <w:tcPr/>
          <w:p>
            <w:pPr>
              <w:pStyle w:val="Compact"/>
              <w:jc w:val="left"/>
            </w:pPr>
            <w:r>
              <w:t xml:space="preserve">Contact:</w:t>
            </w:r>
          </w:p>
        </w:tc>
        <w:tc>
          <w:tcPr/>
          <w:p>
            <w:pPr>
              <w:pStyle w:val="Compact"/>
              <w:jc w:val="left"/>
            </w:pPr>
            <w:r>
              <w:t xml:space="preserve">[Client Contact Details]</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to provide a comprehensive financial and operational breakdown for the engagement of a qualified</w:t>
      </w:r>
      <w:r>
        <w:t xml:space="preserve"> </w:t>
      </w:r>
      <w:r>
        <w:t xml:space="preserve">Physicist</w:t>
      </w:r>
      <w:r>
        <w:t xml:space="preserve"> </w:t>
      </w:r>
      <w:r>
        <w:t xml:space="preserve">to deliver specialized scientific consulting, research oversight, and technical advisory services within the city of</w:t>
      </w:r>
      <w:r>
        <w:t xml:space="preserve"> </w:t>
      </w:r>
      <w:r>
        <w:t xml:space="preserve">Saudi Arabia Jeddah</w:t>
      </w:r>
      <w:r>
        <w:t xml:space="preserve">. The scope of this engagement encompasses advanced physics research support, laboratory equipment calibration and validation, academic program development, and industrial application consulting aligned with the Kingdom's Vision 2030 strategic objectives for science, technology, and innovation.</w:t>
      </w:r>
    </w:p>
    <w:p>
      <w:pPr>
        <w:pStyle w:val="BodyText"/>
      </w:pPr>
      <w:r>
        <w:t xml:space="preserve">The</w:t>
      </w:r>
      <w:r>
        <w:t xml:space="preserve"> </w:t>
      </w:r>
      <w:r>
        <w:t xml:space="preserve">Physicist</w:t>
      </w:r>
      <w:r>
        <w:t xml:space="preserve"> </w:t>
      </w:r>
      <w:r>
        <w:t xml:space="preserve">proposed for this assignment holds a Doctorate in Applied Physics from an internationally accredited institution, possesses a minimum of fifteen (15) years of professional experience in both academic and industrial physics environments, and is fully qualified to operate under the regulatory frameworks governing scientific practice in</w:t>
      </w:r>
      <w:r>
        <w:t xml:space="preserve"> </w:t>
      </w:r>
      <w:r>
        <w:t xml:space="preserve">Saudi Arabia Jeddah</w:t>
      </w:r>
      <w:r>
        <w:t xml:space="preserve"> </w:t>
      </w:r>
      <w:r>
        <w:t xml:space="preserve">and the broader Kingdom of Saudi Arabia.</w:t>
      </w:r>
    </w:p>
    <w:bookmarkEnd w:id="21"/>
    <w:bookmarkStart w:id="22" w:name="scope-of-services"/>
    <w:p>
      <w:pPr>
        <w:pStyle w:val="Heading2"/>
      </w:pPr>
      <w:r>
        <w:t xml:space="preserve">2. Scope of Services</w:t>
      </w:r>
    </w:p>
    <w:p>
      <w:pPr>
        <w:pStyle w:val="FirstParagraph"/>
      </w:pPr>
      <w:r>
        <w:t xml:space="preserve">The following services are included within this</w:t>
      </w:r>
      <w:r>
        <w:t xml:space="preserve"> </w:t>
      </w:r>
      <w:r>
        <w:t xml:space="preserve">Quotation Estimate</w:t>
      </w:r>
      <w:r>
        <w:t xml:space="preserve"> </w:t>
      </w:r>
      <w:r>
        <w:t xml:space="preserve">for the</w:t>
      </w:r>
      <w:r>
        <w:t xml:space="preserve"> </w:t>
      </w:r>
      <w:r>
        <w:t xml:space="preserve">Physicist</w:t>
      </w:r>
      <w:r>
        <w:t xml:space="preserve"> </w:t>
      </w:r>
      <w:r>
        <w:t xml:space="preserve">engagement in</w:t>
      </w:r>
      <w:r>
        <w:t xml:space="preserve"> </w:t>
      </w:r>
      <w:r>
        <w:t xml:space="preserve">Saudi Arabia Jeddah</w:t>
      </w:r>
      <w:r>
        <w:t xml:space="preserve">:</w:t>
      </w:r>
    </w:p>
    <w:p>
      <w:pPr>
        <w:numPr>
          <w:ilvl w:val="0"/>
          <w:numId w:val="1001"/>
        </w:numPr>
        <w:pStyle w:val="Compact"/>
      </w:pPr>
      <w:r>
        <w:rPr>
          <w:bCs/>
          <w:b/>
        </w:rPr>
        <w:t xml:space="preserve">Research &amp; Development Support:</w:t>
      </w:r>
      <w:r>
        <w:t xml:space="preserve"> </w:t>
      </w:r>
      <w:r>
        <w:t xml:space="preserve">Design and execution of experimental physics programs, including particle physics, quantum mechanics, thermodynamics, and materials science research projects conducted at designated laboratories in Jeddah.</w:t>
      </w:r>
    </w:p>
    <w:p>
      <w:pPr>
        <w:numPr>
          <w:ilvl w:val="0"/>
          <w:numId w:val="1001"/>
        </w:numPr>
        <w:pStyle w:val="Compact"/>
      </w:pPr>
      <w:r>
        <w:rPr>
          <w:bCs/>
          <w:b/>
        </w:rPr>
        <w:t xml:space="preserve">Academic Program Development:</w:t>
      </w:r>
      <w:r>
        <w:t xml:space="preserve"> </w:t>
      </w:r>
      <w:r>
        <w:t xml:space="preserve">Curriculum design, syllabus development, and instructional delivery for undergraduate and graduate-level physics courses at partner universities and research institutes in Saudi Arabia Jeddah.</w:t>
      </w:r>
    </w:p>
    <w:p>
      <w:pPr>
        <w:numPr>
          <w:ilvl w:val="0"/>
          <w:numId w:val="1001"/>
        </w:numPr>
        <w:pStyle w:val="Compact"/>
      </w:pPr>
      <w:r>
        <w:rPr>
          <w:bCs/>
          <w:b/>
        </w:rPr>
        <w:t xml:space="preserve">Industrial Consulting:</w:t>
      </w:r>
      <w:r>
        <w:t xml:space="preserve"> </w:t>
      </w:r>
      <w:r>
        <w:t xml:space="preserve">Advisory services for petrochemical, energy, and advanced manufacturing sectors regarding applied physics solutions, process optimization, and materials characterization.</w:t>
      </w:r>
    </w:p>
    <w:p>
      <w:pPr>
        <w:numPr>
          <w:ilvl w:val="0"/>
          <w:numId w:val="1001"/>
        </w:numPr>
        <w:pStyle w:val="Compact"/>
      </w:pPr>
      <w:r>
        <w:rPr>
          <w:bCs/>
          <w:b/>
        </w:rPr>
        <w:t xml:space="preserve">Equipment Calibration &amp; Validation:</w:t>
      </w:r>
      <w:r>
        <w:t xml:space="preserve"> </w:t>
      </w:r>
      <w:r>
        <w:t xml:space="preserve">Comprehensive calibration of laboratory instrumentation, particle detectors, spectroscopy systems, and measurement apparatus in compliance with international ISO standards.</w:t>
      </w:r>
    </w:p>
    <w:p>
      <w:pPr>
        <w:numPr>
          <w:ilvl w:val="0"/>
          <w:numId w:val="1001"/>
        </w:numPr>
        <w:pStyle w:val="Compact"/>
      </w:pPr>
      <w:r>
        <w:rPr>
          <w:bCs/>
          <w:b/>
        </w:rPr>
        <w:t xml:space="preserve">Regulatory Compliance:</w:t>
      </w:r>
      <w:r>
        <w:t xml:space="preserve"> </w:t>
      </w:r>
      <w:r>
        <w:t xml:space="preserve">Ensuring all physics research activities and laboratory operations adhere to the regulations set forth by the Saudi Commission for Health Specialties (SCFHS), the Saudi Standards, Metrology and Quality Organization (SASO), and relevant municipal authorities in Jeddah.</w:t>
      </w:r>
    </w:p>
    <w:p>
      <w:pPr>
        <w:numPr>
          <w:ilvl w:val="0"/>
          <w:numId w:val="1001"/>
        </w:numPr>
        <w:pStyle w:val="Compact"/>
      </w:pPr>
      <w:r>
        <w:rPr>
          <w:bCs/>
          <w:b/>
        </w:rPr>
        <w:t xml:space="preserve">Knowledge Transfer &amp; Training:</w:t>
      </w:r>
      <w:r>
        <w:t xml:space="preserve"> </w:t>
      </w:r>
      <w:r>
        <w:t xml:space="preserve">Conducting workshops, seminars, and hands-on training sessions for local Saudi scientists, engineers, and graduate students to build national capacity in advanced physics disciplines.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Physicist Professional Fee – Senior Research &amp; Consulting (per day)</w:t>
            </w:r>
          </w:p>
        </w:tc>
        <w:tc>
          <w:tcPr/>
          <w:p>
            <w:pPr>
              <w:pStyle w:val="Compact"/>
              <w:jc w:val="left"/>
            </w:pPr>
            <w:r>
              <w:t xml:space="preserve">120 working days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Academic Program Development &amp; Instructional Delivery</w:t>
            </w:r>
          </w:p>
        </w:tc>
        <w:tc>
          <w:tcPr/>
          <w:p>
            <w:pPr>
              <w:pStyle w:val="Compact"/>
              <w:jc w:val="left"/>
            </w:pPr>
            <w:r>
              <w:t xml:space="preserve">2 semesters</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03</w:t>
            </w:r>
          </w:p>
        </w:tc>
        <w:tc>
          <w:tcPr/>
          <w:p>
            <w:pPr>
              <w:pStyle w:val="Compact"/>
              <w:jc w:val="left"/>
            </w:pPr>
            <w:r>
              <w:t xml:space="preserve">Laboratory Equipment Calibration &amp; Validation Services</w:t>
            </w:r>
          </w:p>
        </w:tc>
        <w:tc>
          <w:tcPr/>
          <w:p>
            <w:pPr>
              <w:pStyle w:val="Compact"/>
              <w:jc w:val="left"/>
            </w:pPr>
            <w:r>
              <w:t xml:space="preserve">15 equipment units</w:t>
            </w:r>
          </w:p>
        </w:tc>
        <w:tc>
          <w:tcPr/>
          <w:p>
            <w:pPr>
              <w:pStyle w:val="Compact"/>
              <w:jc w:val="left"/>
            </w:pPr>
            <w:r>
              <w:t xml:space="preserve">12,000.00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Industrial Site Visits &amp; Technical Advisory (per visit)</w:t>
            </w:r>
          </w:p>
        </w:tc>
        <w:tc>
          <w:tcPr/>
          <w:p>
            <w:pPr>
              <w:pStyle w:val="Compact"/>
              <w:jc w:val="left"/>
            </w:pPr>
            <w:r>
              <w:t xml:space="preserve">12 visits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Knowledge Transfer Workshops &amp; Training Programs</w:t>
            </w:r>
          </w:p>
        </w:tc>
        <w:tc>
          <w:tcPr/>
          <w:p>
            <w:pPr>
              <w:pStyle w:val="Compact"/>
              <w:jc w:val="left"/>
            </w:pPr>
            <w:r>
              <w:t xml:space="preserve">8 sessions</w:t>
            </w:r>
          </w:p>
        </w:tc>
        <w:tc>
          <w:tcPr/>
          <w:p>
            <w:pPr>
              <w:pStyle w:val="Compact"/>
              <w:jc w:val="left"/>
            </w:pPr>
            <w:r>
              <w:t xml:space="preserve">22,500.00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Travel, Accommodation &amp; Local Transportation in Jeddah</w:t>
            </w:r>
          </w:p>
        </w:tc>
        <w:tc>
          <w:tcPr/>
          <w:p>
            <w:pPr>
              <w:pStyle w:val="Compact"/>
              <w:jc w:val="left"/>
            </w:pPr>
            <w:r>
              <w:t xml:space="preserve">120 days</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07</w:t>
            </w:r>
          </w:p>
        </w:tc>
        <w:tc>
          <w:tcPr/>
          <w:p>
            <w:pPr>
              <w:pStyle w:val="Compact"/>
              <w:jc w:val="left"/>
            </w:pPr>
            <w:r>
              <w:t xml:space="preserve">Visa Processing, Iqama &amp; Work Permit Fees (Saudi Arabia Jeddah)</w:t>
            </w:r>
          </w:p>
        </w:tc>
        <w:tc>
          <w:tcPr/>
          <w:p>
            <w:pPr>
              <w:pStyle w:val="Compact"/>
              <w:jc w:val="left"/>
            </w:pPr>
            <w:r>
              <w:t xml:space="preserve">1 professional</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Professional Liability Insurance &amp; Medical Coverage</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09</w:t>
            </w:r>
          </w:p>
        </w:tc>
        <w:tc>
          <w:tcPr/>
          <w:p>
            <w:pPr>
              <w:pStyle w:val="Compact"/>
              <w:jc w:val="left"/>
            </w:pPr>
            <w:r>
              <w:t xml:space="preserve">Research Materials, Consumables &amp; Laboratory Supplies</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95,000.00</w:t>
            </w:r>
          </w:p>
        </w:tc>
      </w:tr>
      <w:tr>
        <w:tc>
          <w:tcPr/>
          <w:p>
            <w:pPr>
              <w:pStyle w:val="Compact"/>
              <w:jc w:val="left"/>
            </w:pPr>
            <w:r>
              <w:t xml:space="preserve">10</w:t>
            </w:r>
          </w:p>
        </w:tc>
        <w:tc>
          <w:tcPr/>
          <w:p>
            <w:pPr>
              <w:pStyle w:val="Compact"/>
              <w:jc w:val="left"/>
            </w:pPr>
            <w:r>
              <w:t xml:space="preserve">Project Management, Reporting &amp; Administrative Overhead (10%)</w:t>
            </w:r>
          </w:p>
        </w:tc>
        <w:tc>
          <w:tcPr/>
          <w:p>
            <w:pPr>
              <w:pStyle w:val="Compact"/>
              <w:jc w:val="left"/>
            </w:pPr>
            <w:r>
              <w:t xml:space="preserve">Full engagement</w:t>
            </w:r>
          </w:p>
        </w:tc>
        <w:tc>
          <w:tcPr/>
          <w:p>
            <w:pPr>
              <w:pStyle w:val="Compact"/>
              <w:jc w:val="left"/>
            </w:pPr>
            <w:r>
              <w:t xml:space="preserve">—</w:t>
            </w:r>
          </w:p>
        </w:tc>
        <w:tc>
          <w:tcPr/>
          <w:p>
            <w:pPr>
              <w:pStyle w:val="Compact"/>
              <w:jc w:val="left"/>
            </w:pPr>
            <w:r>
              <w:t xml:space="preserve">247,250.00</w:t>
            </w:r>
          </w:p>
        </w:tc>
      </w:tr>
      <w:tr>
        <w:tc>
          <w:tcPr>
            <w:gridSpan w:val="4"/>
          </w:tcPr>
          <w:p>
            <w:pPr>
              <w:pStyle w:val="Compact"/>
              <w:jc w:val="right"/>
            </w:pPr>
            <w:r>
              <w:t xml:space="preserve">GRAND TOTAL (Before VAT):</w:t>
            </w:r>
          </w:p>
        </w:tc>
        <w:tc>
          <w:tcPr/>
          <w:p>
            <w:pPr>
              <w:pStyle w:val="Compact"/>
              <w:jc w:val="left"/>
            </w:pPr>
            <w:r>
              <w:t xml:space="preserve">2,919,750.00</w:t>
            </w:r>
          </w:p>
        </w:tc>
      </w:tr>
      <w:tr>
        <w:tc>
          <w:tcPr>
            <w:gridSpan w:val="4"/>
          </w:tcPr>
          <w:p>
            <w:pPr>
              <w:pStyle w:val="Compact"/>
              <w:jc w:val="right"/>
            </w:pPr>
            <w:r>
              <w:t xml:space="preserve">VAT @ 15% (Saudi Arabia):</w:t>
            </w:r>
          </w:p>
        </w:tc>
        <w:tc>
          <w:tcPr/>
          <w:p>
            <w:pPr>
              <w:pStyle w:val="Compact"/>
              <w:jc w:val="left"/>
            </w:pPr>
            <w:r>
              <w:t xml:space="preserve">437,962.50</w:t>
            </w:r>
          </w:p>
        </w:tc>
      </w:tr>
      <w:tr>
        <w:tc>
          <w:tcPr>
            <w:gridSpan w:val="4"/>
          </w:tcPr>
          <w:p>
            <w:pPr>
              <w:pStyle w:val="Compact"/>
              <w:jc w:val="right"/>
            </w:pPr>
            <w:r>
              <w:t xml:space="preserve">FINAL TOTAL (Incl. VAT):</w:t>
            </w:r>
          </w:p>
        </w:tc>
        <w:tc>
          <w:tcPr/>
          <w:p>
            <w:pPr>
              <w:pStyle w:val="Compact"/>
              <w:jc w:val="left"/>
            </w:pPr>
            <w:r>
              <w:t xml:space="preserve">3,357,712.50</w:t>
            </w:r>
          </w:p>
        </w:tc>
      </w:tr>
    </w:tbl>
    <w:p>
      <w:pPr>
        <w:pStyle w:val="BodyText"/>
      </w:pPr>
      <w:r>
        <w:rPr>
          <w:bCs/>
          <w:b/>
        </w:rPr>
        <w:t xml:space="preserve">Note:</w:t>
      </w:r>
      <w:r>
        <w:t xml:space="preserve"> </w:t>
      </w:r>
      <w:r>
        <w:t xml:space="preserve">All monetary values in this Quotation Estimate are expressed in Saudi Riyal (SAR). The 15% Value Added Tax (VAT) is applied in accordance with the Zakat and Tax Authority (ZATCA) regulations of the Kingdom of Saudi Arabia. Any additional services beyond the scope defined herein will be subject to a supplementary Quotation Estimate issued separately.</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Upon expiration, all rates and terms are subject to revision.</w:t>
      </w:r>
    </w:p>
    <w:p>
      <w:pPr>
        <w:numPr>
          <w:ilvl w:val="0"/>
          <w:numId w:val="1002"/>
        </w:numPr>
        <w:pStyle w:val="Compact"/>
      </w:pPr>
      <w:r>
        <w:t xml:space="preserve">Payment terms: 40% advance payment upon contract execution, 40% upon completion of the first six (6) months of the engagement, and 20% upon final project delivery and acceptance in</w:t>
      </w:r>
      <w:r>
        <w:t xml:space="preserve"> </w:t>
      </w:r>
      <w:r>
        <w:t xml:space="preserve">Saudi Arabia Jeddah</w:t>
      </w:r>
      <w:r>
        <w:t xml:space="preserve">.</w:t>
      </w:r>
    </w:p>
    <w:p>
      <w:pPr>
        <w:numPr>
          <w:ilvl w:val="0"/>
          <w:numId w:val="1002"/>
        </w:numPr>
        <w:pStyle w:val="Compact"/>
      </w:pPr>
      <w:r>
        <w:t xml:space="preserve">The</w:t>
      </w:r>
      <w:r>
        <w:t xml:space="preserve"> </w:t>
      </w:r>
      <w:r>
        <w:t xml:space="preserve">Physicist</w:t>
      </w:r>
      <w:r>
        <w:t xml:space="preserve"> </w:t>
      </w:r>
      <w:r>
        <w:t xml:space="preserve">shall comply with all applicable laws, regulations, and cultural norms of the Kingdom of Saudi Arabia, including but not limited to labor laws, data protection regulations, and professional conduct standards.</w:t>
      </w:r>
    </w:p>
    <w:p>
      <w:pPr>
        <w:numPr>
          <w:ilvl w:val="0"/>
          <w:numId w:val="1002"/>
        </w:numPr>
        <w:pStyle w:val="Compact"/>
      </w:pPr>
      <w:r>
        <w:t xml:space="preserve">All intellectual property generated during the course of this engagement shall be jointly owned by the Client and the service provider, unless otherwise stipulated in a separate intellectual property agreement.</w:t>
      </w:r>
    </w:p>
    <w:p>
      <w:pPr>
        <w:numPr>
          <w:ilvl w:val="0"/>
          <w:numId w:val="1002"/>
        </w:numPr>
        <w:pStyle w:val="Compact"/>
      </w:pPr>
      <w:r>
        <w:t xml:space="preserve">The Client agrees to provide all necessary laboratory access, research materials, and administrative support required for the</w:t>
      </w:r>
      <w:r>
        <w:t xml:space="preserve"> </w:t>
      </w:r>
      <w:r>
        <w:t xml:space="preserve">Physicist</w:t>
      </w:r>
      <w:r>
        <w:t xml:space="preserve"> </w:t>
      </w:r>
      <w:r>
        <w:t xml:space="preserve">to perform the outlined duties effectively in</w:t>
      </w:r>
      <w:r>
        <w:t xml:space="preserve"> </w:t>
      </w:r>
      <w:r>
        <w:t xml:space="preserve">Saudi Arabia Jeddah</w:t>
      </w:r>
      <w:r>
        <w:t xml:space="preserve">.</w:t>
      </w:r>
    </w:p>
    <w:p>
      <w:pPr>
        <w:numPr>
          <w:ilvl w:val="0"/>
          <w:numId w:val="1002"/>
        </w:numPr>
        <w:pStyle w:val="Compact"/>
      </w:pPr>
      <w:r>
        <w:t xml:space="preserve">Either party may terminate this engagement with a written notice of thirty (30) days. In such an event, payment shall be made pro-rata for services rendered up to the termination date.</w:t>
      </w:r>
    </w:p>
    <w:p>
      <w:pPr>
        <w:numPr>
          <w:ilvl w:val="0"/>
          <w:numId w:val="1002"/>
        </w:numPr>
        <w:pStyle w:val="Compact"/>
      </w:pPr>
      <w:r>
        <w:t xml:space="preserve">This Quotation Estimate does not constitute a binding contract until formally accepted in writing by both parties and executed as a definitive service agreement.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conditions, and financial provisions outlined in this</w:t>
      </w:r>
      <w:r>
        <w:t xml:space="preserve"> </w:t>
      </w:r>
      <w:r>
        <w:t xml:space="preserve">Quotation Estimate</w:t>
      </w:r>
      <w:r>
        <w:t xml:space="preserve"> </w:t>
      </w:r>
      <w:r>
        <w:t xml:space="preserve">for the engagement of a</w:t>
      </w:r>
      <w:r>
        <w:t xml:space="preserve"> </w:t>
      </w:r>
      <w:r>
        <w:t xml:space="preserve">Physicist</w:t>
      </w:r>
      <w:r>
        <w:t xml:space="preserve"> </w:t>
      </w:r>
      <w:r>
        <w:t xml:space="preserve">in</w:t>
      </w:r>
      <w:r>
        <w:t xml:space="preserve"> </w:t>
      </w:r>
      <w:r>
        <w:t xml:space="preserve">Saudi Arabia Jeddah</w:t>
      </w:r>
      <w:r>
        <w:t xml:space="preserve">.</w:t>
      </w:r>
    </w:p>
    <w:p>
      <w:pPr>
        <w:pStyle w:val="BodyText"/>
      </w:pPr>
      <w:r>
        <w:rPr>
          <w:bCs/>
          <w:b/>
        </w:rPr>
        <w:t xml:space="preserve">For the Service Provider</w:t>
      </w:r>
      <w:r>
        <w:br/>
      </w:r>
      <w:r>
        <w:t xml:space="preserve">Name: Dr. Khalid Al-Rashid</w:t>
      </w:r>
      <w:r>
        <w:br/>
      </w:r>
      <w:r>
        <w:t xml:space="preserve">Title: Senior Technical Director</w:t>
      </w:r>
      <w:r>
        <w:br/>
      </w:r>
      <w:r>
        <w:t xml:space="preserve">Signature: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Quotation Estimate No. QE-2025-JED-PHY-0047 | Physicist Services | Saudi Arabia Jeddah</w:t>
      </w:r>
    </w:p>
    <w:p>
      <w:pPr>
        <w:pStyle w:val="BodyText"/>
      </w:pPr>
      <w:r>
        <w:t xml:space="preserve">This document is confidential and intended solely for the named recipient. Unauthorized reproduction or distribution is prohibited.</w:t>
      </w:r>
    </w:p>
    <w:p>
      <w:pPr>
        <w:pStyle w:val="BodyText"/>
      </w:pPr>
      <w:r>
        <w:t xml:space="preserve">©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Saudi Arabia Jeddah</dc:title>
  <dc:creator/>
  <dc:language>en</dc:language>
  <cp:keywords/>
  <dcterms:created xsi:type="dcterms:W3CDTF">2026-10-10T02:16:19Z</dcterms:created>
  <dcterms:modified xsi:type="dcterms:W3CDTF">2026-10-10T02:16:19Z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