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Physicist Consultancy &amp; Technical Services</w:t>
      </w:r>
    </w:p>
    <w:p>
      <w:pPr>
        <w:pStyle w:val="BodyText"/>
      </w:pPr>
      <w:r>
        <w:t xml:space="preserve">Saudi Arabia Riyadh | Kingdom of Saudi Arabia</w:t>
      </w:r>
    </w:p>
    <w:p>
      <w:pPr>
        <w:pStyle w:val="BodyText"/>
      </w:pPr>
      <w:r>
        <w:t xml:space="preserve">Document Reference: QE-PHY-2025-0472</w:t>
      </w:r>
    </w:p>
    <w:bookmarkEnd w:id="20"/>
    <w:p>
      <w:pPr>
        <w:pStyle w:val="BodyText"/>
      </w:pPr>
      <w:r>
        <w:rPr>
          <w:bCs/>
          <w:b/>
        </w:rPr>
        <w:t xml:space="preserve">Quotation Date:</w:t>
      </w:r>
      <w:r>
        <w:br/>
      </w:r>
      <w:r>
        <w:t xml:space="preserve">15 June 2025</w:t>
      </w:r>
    </w:p>
    <w:p>
      <w:pPr>
        <w:pStyle w:val="BodyText"/>
      </w:pPr>
      <w:r>
        <w:rPr>
          <w:bCs/>
          <w:b/>
        </w:rPr>
        <w:t xml:space="preserve">Valid Until:</w:t>
      </w:r>
      <w:r>
        <w:br/>
      </w:r>
      <w:r>
        <w:t xml:space="preserve">15 July 2025</w:t>
      </w:r>
    </w:p>
    <w:p>
      <w:pPr>
        <w:pStyle w:val="BodyText"/>
      </w:pPr>
      <w:r>
        <w:rPr>
          <w:bCs/>
          <w:b/>
        </w:rPr>
        <w:t xml:space="preserve">Prepared For:</w:t>
      </w:r>
      <w:r>
        <w:br/>
      </w:r>
      <w:r>
        <w:t xml:space="preserve">Client Organization</w:t>
      </w:r>
    </w:p>
    <w:p>
      <w:pPr>
        <w:pStyle w:val="BodyText"/>
      </w:pPr>
      <w:r>
        <w:rPr>
          <w:bCs/>
          <w:b/>
        </w:rPr>
        <w:t xml:space="preserve">Prepared By:</w:t>
      </w:r>
      <w:r>
        <w:br/>
      </w:r>
      <w:r>
        <w:t xml:space="preserve">Advanced Scientific Solutions Ltd.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Advanced Scientific Solutions Ltd., a registered professional services firm operating in</w:t>
      </w:r>
      <w:r>
        <w:t xml:space="preserve"> </w:t>
      </w:r>
      <w:r>
        <w:t xml:space="preserve">Saudi Arabia Riyadh</w:t>
      </w:r>
      <w:r>
        <w:t xml:space="preserve">, to provide a comprehensive and itemized cost breakdown for the engagement of a qualified</w:t>
      </w:r>
      <w:r>
        <w:t xml:space="preserve"> </w:t>
      </w:r>
      <w:r>
        <w:t xml:space="preserve">Physicist</w:t>
      </w:r>
      <w:r>
        <w:t xml:space="preserve"> </w:t>
      </w:r>
      <w:r>
        <w:t xml:space="preserve">to deliver specialized technical consultancy, research support, and applied physics services. This document serves as the official</w:t>
      </w:r>
      <w:r>
        <w:t xml:space="preserve"> </w:t>
      </w:r>
      <w:r>
        <w:t xml:space="preserve">Quotation Estimate</w:t>
      </w:r>
      <w:r>
        <w:t xml:space="preserve"> </w:t>
      </w:r>
      <w:r>
        <w:t xml:space="preserve">for all parties involved and outlines the scope of work, deliverables, associated costs, and contractual terms governing the professional engagement of the</w:t>
      </w:r>
      <w:r>
        <w:t xml:space="preserve"> </w:t>
      </w:r>
      <w:r>
        <w:t xml:space="preserve">Physicist</w:t>
      </w:r>
      <w:r>
        <w:t xml:space="preserve"> </w:t>
      </w:r>
      <w:r>
        <w:t xml:space="preserve">within the</w:t>
      </w:r>
      <w:r>
        <w:t xml:space="preserve"> </w:t>
      </w:r>
      <w:r>
        <w:t xml:space="preserve">Saudi Arabia Riyadh</w:t>
      </w:r>
      <w:r>
        <w:t xml:space="preserve"> </w:t>
      </w:r>
      <w:r>
        <w:t xml:space="preserve">metropolitan area and its surrounding industrial and academic zones.</w:t>
      </w:r>
    </w:p>
    <w:bookmarkEnd w:id="21"/>
    <w:bookmarkStart w:id="22" w:name="scope-of-services-physicist-engagement"/>
    <w:p>
      <w:pPr>
        <w:pStyle w:val="Heading2"/>
      </w:pPr>
      <w:r>
        <w:t xml:space="preserve">2. Scope of Services – Physicist Engagement</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provide the following professional services in</w:t>
      </w:r>
      <w:r>
        <w:t xml:space="preserve"> </w:t>
      </w:r>
      <w:r>
        <w:t xml:space="preserve">Saudi Arabia Riyadh</w:t>
      </w:r>
      <w:r>
        <w:t xml:space="preserve">:</w:t>
      </w:r>
    </w:p>
    <w:p>
      <w:pPr>
        <w:numPr>
          <w:ilvl w:val="0"/>
          <w:numId w:val="1001"/>
        </w:numPr>
        <w:pStyle w:val="Compact"/>
      </w:pPr>
      <w:r>
        <w:t xml:space="preserve">Applied physics consultancy for industrial, energy, and telecommunications projects located in Riyadh and the Eastern Province.</w:t>
      </w:r>
    </w:p>
    <w:p>
      <w:pPr>
        <w:numPr>
          <w:ilvl w:val="0"/>
          <w:numId w:val="1001"/>
        </w:numPr>
        <w:pStyle w:val="Compact"/>
      </w:pPr>
      <w:r>
        <w:t xml:space="preserve">Design and validation of experimental setups, including particle detection systems, optical instrumentation, and thermal analysis equipment.</w:t>
      </w:r>
    </w:p>
    <w:p>
      <w:pPr>
        <w:numPr>
          <w:ilvl w:val="0"/>
          <w:numId w:val="1001"/>
        </w:numPr>
        <w:pStyle w:val="Compact"/>
      </w:pPr>
      <w:r>
        <w:t xml:space="preserve">Technical review and peer evaluation of research proposals, engineering designs, and scientific publications.</w:t>
      </w:r>
    </w:p>
    <w:p>
      <w:pPr>
        <w:numPr>
          <w:ilvl w:val="0"/>
          <w:numId w:val="1001"/>
        </w:numPr>
        <w:pStyle w:val="Compact"/>
      </w:pPr>
      <w:r>
        <w:t xml:space="preserve">On-site technical supervision and quality assurance for physics-related installations at client facilities in</w:t>
      </w:r>
      <w:r>
        <w:t xml:space="preserve"> </w:t>
      </w:r>
      <w:r>
        <w:t xml:space="preserve">Saudi Arabia Riyadh</w:t>
      </w:r>
      <w:r>
        <w:t xml:space="preserve">.</w:t>
      </w:r>
    </w:p>
    <w:p>
      <w:pPr>
        <w:numPr>
          <w:ilvl w:val="0"/>
          <w:numId w:val="1001"/>
        </w:numPr>
        <w:pStyle w:val="Compact"/>
      </w:pPr>
      <w:r>
        <w:t xml:space="preserve">Preparation of detailed technical reports, feasibility studies, and regulatory compliance documentation in accordance with Saudi Arabian Standards Organization (SASO) requirements.</w:t>
      </w:r>
    </w:p>
    <w:p>
      <w:pPr>
        <w:numPr>
          <w:ilvl w:val="0"/>
          <w:numId w:val="1001"/>
        </w:numPr>
        <w:pStyle w:val="Compact"/>
      </w:pPr>
      <w:r>
        <w:t xml:space="preserve">Mentorship and training sessions for in-house engineering and research teams on advanced physics principles and methodologies.</w:t>
      </w:r>
    </w:p>
    <w:p>
      <w:pPr>
        <w:numPr>
          <w:ilvl w:val="0"/>
          <w:numId w:val="1001"/>
        </w:numPr>
        <w:pStyle w:val="Compact"/>
      </w:pPr>
      <w:r>
        <w:t xml:space="preserve">Collaboration with local academic institutions in Riyadh, including King Saud University and King Abdulaziz City for Science and Technology (KACST), for joint research initiatives.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Physicist – Full-time consultancy (on-site, Riyadh)</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Applied Physics Research &amp; Development Support</w:t>
            </w:r>
          </w:p>
        </w:tc>
        <w:tc>
          <w:tcPr/>
          <w:p>
            <w:pPr>
              <w:pStyle w:val="Compact"/>
              <w:jc w:val="left"/>
            </w:pPr>
            <w:r>
              <w:t xml:space="preserve">3 months</w:t>
            </w:r>
          </w:p>
        </w:tc>
        <w:tc>
          <w:tcPr/>
          <w:p>
            <w:pPr>
              <w:pStyle w:val="Compact"/>
              <w:jc w:val="left"/>
            </w:pPr>
            <w:r>
              <w:t xml:space="preserve">32,000 / month</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Technical Report Preparation &amp; Regulatory Compliance (SASO)</w:t>
            </w:r>
          </w:p>
        </w:tc>
        <w:tc>
          <w:tcPr/>
          <w:p>
            <w:pPr>
              <w:pStyle w:val="Compact"/>
              <w:jc w:val="left"/>
            </w:pPr>
            <w:r>
              <w:t xml:space="preserve">4 reports</w:t>
            </w:r>
          </w:p>
        </w:tc>
        <w:tc>
          <w:tcPr/>
          <w:p>
            <w:pPr>
              <w:pStyle w:val="Compact"/>
              <w:jc w:val="left"/>
            </w:pPr>
            <w:r>
              <w:t xml:space="preserve">8,500 / report</w:t>
            </w:r>
          </w:p>
        </w:tc>
        <w:tc>
          <w:tcPr/>
          <w:p>
            <w:pPr>
              <w:pStyle w:val="Compact"/>
              <w:jc w:val="left"/>
            </w:pPr>
            <w:r>
              <w:t xml:space="preserve">34,000</w:t>
            </w:r>
          </w:p>
        </w:tc>
      </w:tr>
      <w:tr>
        <w:tc>
          <w:tcPr/>
          <w:p>
            <w:pPr>
              <w:pStyle w:val="Compact"/>
              <w:jc w:val="left"/>
            </w:pPr>
            <w:r>
              <w:t xml:space="preserve">04</w:t>
            </w:r>
          </w:p>
        </w:tc>
        <w:tc>
          <w:tcPr/>
          <w:p>
            <w:pPr>
              <w:pStyle w:val="Compact"/>
              <w:jc w:val="left"/>
            </w:pPr>
            <w:r>
              <w:t xml:space="preserve">On-site Equipment Calibration &amp; Validation (Riyadh facilities)</w:t>
            </w:r>
          </w:p>
        </w:tc>
        <w:tc>
          <w:tcPr/>
          <w:p>
            <w:pPr>
              <w:pStyle w:val="Compact"/>
              <w:jc w:val="left"/>
            </w:pPr>
            <w:r>
              <w:t xml:space="preserve">12 sessions</w:t>
            </w:r>
          </w:p>
        </w:tc>
        <w:tc>
          <w:tcPr/>
          <w:p>
            <w:pPr>
              <w:pStyle w:val="Compact"/>
              <w:jc w:val="left"/>
            </w:pPr>
            <w:r>
              <w:t xml:space="preserve">6,200 / session</w:t>
            </w:r>
          </w:p>
        </w:tc>
        <w:tc>
          <w:tcPr/>
          <w:p>
            <w:pPr>
              <w:pStyle w:val="Compact"/>
              <w:jc w:val="left"/>
            </w:pPr>
            <w:r>
              <w:t xml:space="preserve">74,400</w:t>
            </w:r>
          </w:p>
        </w:tc>
      </w:tr>
      <w:tr>
        <w:tc>
          <w:tcPr/>
          <w:p>
            <w:pPr>
              <w:pStyle w:val="Compact"/>
              <w:jc w:val="left"/>
            </w:pPr>
            <w:r>
              <w:t xml:space="preserve">05</w:t>
            </w:r>
          </w:p>
        </w:tc>
        <w:tc>
          <w:tcPr/>
          <w:p>
            <w:pPr>
              <w:pStyle w:val="Compact"/>
              <w:jc w:val="left"/>
            </w:pPr>
            <w:r>
              <w:t xml:space="preserve">Training &amp; Mentorship Program for Client Staff</w:t>
            </w:r>
          </w:p>
        </w:tc>
        <w:tc>
          <w:tcPr/>
          <w:p>
            <w:pPr>
              <w:pStyle w:val="Compact"/>
              <w:jc w:val="left"/>
            </w:pPr>
            <w:r>
              <w:t xml:space="preserve">8 workshops</w:t>
            </w:r>
          </w:p>
        </w:tc>
        <w:tc>
          <w:tcPr/>
          <w:p>
            <w:pPr>
              <w:pStyle w:val="Compact"/>
              <w:jc w:val="left"/>
            </w:pPr>
            <w:r>
              <w:t xml:space="preserve">5,000 / workshop</w:t>
            </w:r>
          </w:p>
        </w:tc>
        <w:tc>
          <w:tcPr/>
          <w:p>
            <w:pPr>
              <w:pStyle w:val="Compact"/>
              <w:jc w:val="left"/>
            </w:pPr>
            <w:r>
              <w:t xml:space="preserve">40,000</w:t>
            </w:r>
          </w:p>
        </w:tc>
      </w:tr>
      <w:tr>
        <w:tc>
          <w:tcPr/>
          <w:p>
            <w:pPr>
              <w:pStyle w:val="Compact"/>
              <w:jc w:val="left"/>
            </w:pPr>
            <w:r>
              <w:t xml:space="preserve">06</w:t>
            </w:r>
          </w:p>
        </w:tc>
        <w:tc>
          <w:tcPr/>
          <w:p>
            <w:pPr>
              <w:pStyle w:val="Compact"/>
              <w:jc w:val="left"/>
            </w:pPr>
            <w:r>
              <w:t xml:space="preserve">Travel &amp; Accommodation within Saudi Arabia (Riyadh to Jeddah, Dammam)</w:t>
            </w:r>
          </w:p>
        </w:tc>
        <w:tc>
          <w:tcPr/>
          <w:p>
            <w:pPr>
              <w:pStyle w:val="Compact"/>
              <w:jc w:val="left"/>
            </w:pPr>
            <w:r>
              <w:t xml:space="preserve">6 trips</w:t>
            </w:r>
          </w:p>
        </w:tc>
        <w:tc>
          <w:tcPr/>
          <w:p>
            <w:pPr>
              <w:pStyle w:val="Compact"/>
              <w:jc w:val="left"/>
            </w:pPr>
            <w:r>
              <w:t xml:space="preserve">4,800 / trip</w:t>
            </w:r>
          </w:p>
        </w:tc>
        <w:tc>
          <w:tcPr/>
          <w:p>
            <w:pPr>
              <w:pStyle w:val="Compact"/>
              <w:jc w:val="left"/>
            </w:pPr>
            <w:r>
              <w:t xml:space="preserve">28,800</w:t>
            </w:r>
          </w:p>
        </w:tc>
      </w:tr>
      <w:tr>
        <w:tc>
          <w:tcPr/>
          <w:p>
            <w:pPr>
              <w:pStyle w:val="Compact"/>
              <w:jc w:val="left"/>
            </w:pPr>
            <w:r>
              <w:t xml:space="preserve">07</w:t>
            </w:r>
          </w:p>
        </w:tc>
        <w:tc>
          <w:tcPr/>
          <w:p>
            <w:pPr>
              <w:pStyle w:val="Compact"/>
              <w:jc w:val="left"/>
            </w:pPr>
            <w:r>
              <w:t xml:space="preserve">Specialized Software Licenses &amp; Simulation Tools</w:t>
            </w:r>
          </w:p>
        </w:tc>
        <w:tc>
          <w:tcPr/>
          <w:p>
            <w:pPr>
              <w:pStyle w:val="Compact"/>
              <w:jc w:val="left"/>
            </w:pPr>
            <w:r>
              <w:t xml:space="preserve">1 year</w:t>
            </w:r>
          </w:p>
        </w:tc>
        <w:tc>
          <w:tcPr/>
          <w:p>
            <w:pPr>
              <w:pStyle w:val="Compact"/>
              <w:jc w:val="left"/>
            </w:pPr>
            <w:r>
              <w:t xml:space="preserve">15,000 / year</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Administrative &amp; Project Management Overhead</w:t>
            </w:r>
          </w:p>
        </w:tc>
        <w:tc>
          <w:tcPr/>
          <w:p>
            <w:pPr>
              <w:pStyle w:val="Compact"/>
              <w:jc w:val="left"/>
            </w:pPr>
            <w:r>
              <w:t xml:space="preserve">6 months</w:t>
            </w:r>
          </w:p>
        </w:tc>
        <w:tc>
          <w:tcPr/>
          <w:p>
            <w:pPr>
              <w:pStyle w:val="Compact"/>
              <w:jc w:val="left"/>
            </w:pPr>
            <w:r>
              <w:t xml:space="preserve">12,000 / month</w:t>
            </w:r>
          </w:p>
        </w:tc>
        <w:tc>
          <w:tcPr/>
          <w:p>
            <w:pPr>
              <w:pStyle w:val="Compact"/>
              <w:jc w:val="left"/>
            </w:pPr>
            <w:r>
              <w:t xml:space="preserve">72,000</w:t>
            </w:r>
          </w:p>
        </w:tc>
      </w:tr>
      <w:tr>
        <w:tc>
          <w:tcPr>
            <w:gridSpan w:val="4"/>
          </w:tcPr>
          <w:p>
            <w:pPr>
              <w:pStyle w:val="Compact"/>
              <w:jc w:val="right"/>
            </w:pPr>
            <w:r>
              <w:t xml:space="preserve">Subtotal (SAR)</w:t>
            </w:r>
          </w:p>
        </w:tc>
        <w:tc>
          <w:tcPr/>
          <w:p>
            <w:pPr>
              <w:pStyle w:val="Compact"/>
              <w:jc w:val="left"/>
            </w:pPr>
            <w:r>
              <w:t xml:space="preserve">630,200</w:t>
            </w:r>
          </w:p>
        </w:tc>
      </w:tr>
      <w:tr>
        <w:tc>
          <w:tcPr>
            <w:gridSpan w:val="4"/>
          </w:tcPr>
          <w:p>
            <w:pPr>
              <w:pStyle w:val="Compact"/>
              <w:jc w:val="right"/>
            </w:pPr>
            <w:r>
              <w:t xml:space="preserve">VAT (15% – Saudi Arabia)</w:t>
            </w:r>
          </w:p>
        </w:tc>
        <w:tc>
          <w:tcPr/>
          <w:p>
            <w:pPr>
              <w:pStyle w:val="Compact"/>
              <w:jc w:val="left"/>
            </w:pPr>
            <w:r>
              <w:t xml:space="preserve">94,530</w:t>
            </w:r>
          </w:p>
        </w:tc>
      </w:tr>
      <w:tr>
        <w:tc>
          <w:tcPr>
            <w:gridSpan w:val="4"/>
          </w:tcPr>
          <w:p>
            <w:pPr>
              <w:pStyle w:val="Compact"/>
              <w:jc w:val="right"/>
            </w:pPr>
            <w:r>
              <w:t xml:space="preserve">Grand Total (SAR)</w:t>
            </w:r>
          </w:p>
        </w:tc>
        <w:tc>
          <w:tcPr/>
          <w:p>
            <w:pPr>
              <w:pStyle w:val="Compact"/>
              <w:jc w:val="left"/>
            </w:pPr>
            <w:r>
              <w:t xml:space="preserve">724,730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shall require a revised</w:t>
      </w:r>
      <w:r>
        <w:t xml:space="preserve"> </w:t>
      </w:r>
      <w:r>
        <w:t xml:space="preserve">Quotation Estimate</w:t>
      </w:r>
      <w:r>
        <w:t xml:space="preserve"> </w:t>
      </w:r>
      <w:r>
        <w:t xml:space="preserve">reflecting current market rates in</w:t>
      </w:r>
      <w:r>
        <w:t xml:space="preserve"> </w:t>
      </w:r>
      <w:r>
        <w:t xml:space="preserve">Saudi Arabia Riyadh</w:t>
      </w:r>
      <w:r>
        <w:t xml:space="preserve">.</w:t>
      </w:r>
    </w:p>
    <w:p>
      <w:pPr>
        <w:numPr>
          <w:ilvl w:val="0"/>
          <w:numId w:val="1002"/>
        </w:numPr>
        <w:pStyle w:val="Compact"/>
      </w:pPr>
      <w:r>
        <w:t xml:space="preserve">All payments shall be made in Saudi Riyals (SAR) via bank transfer to the designated account of Advanced Scientific Solutions Ltd. Payment terms: 40% upon contract signing, 30% at mid-project milestone, and 30% upon final delivery and acceptance.</w:t>
      </w:r>
    </w:p>
    <w:p>
      <w:pPr>
        <w:numPr>
          <w:ilvl w:val="0"/>
          <w:numId w:val="1002"/>
        </w:numPr>
        <w:pStyle w:val="Compact"/>
      </w:pPr>
      <w:r>
        <w:t xml:space="preserve">The</w:t>
      </w:r>
      <w:r>
        <w:t xml:space="preserve"> </w:t>
      </w:r>
      <w:r>
        <w:t xml:space="preserve">Physicist</w:t>
      </w:r>
      <w:r>
        <w:t xml:space="preserve"> </w:t>
      </w:r>
      <w:r>
        <w:t xml:space="preserve">assigned to this engagement shall hold a minimum of a Master's degree in Physics (or equivalent) with at least eight (8) years of professional experience in applied or experimental physics. The candidate shall be fully compliant with Saudi Arabian labor laws and hold a valid Iqama or work permit for</w:t>
      </w:r>
      <w:r>
        <w:t xml:space="preserve"> </w:t>
      </w:r>
      <w:r>
        <w:t xml:space="preserve">Saudi Arabia Riyadh</w:t>
      </w:r>
      <w:r>
        <w:t xml:space="preserve">.</w:t>
      </w:r>
    </w:p>
    <w:p>
      <w:pPr>
        <w:numPr>
          <w:ilvl w:val="0"/>
          <w:numId w:val="1002"/>
        </w:numPr>
        <w:pStyle w:val="Compact"/>
      </w:pPr>
      <w:r>
        <w:t xml:space="preserve">All intellectual property, research findings, and technical documentation produced under this engagement shall remain the exclusive property of the client, as stipulated in the master service agreement.</w:t>
      </w:r>
    </w:p>
    <w:p>
      <w:pPr>
        <w:numPr>
          <w:ilvl w:val="0"/>
          <w:numId w:val="1002"/>
        </w:numPr>
        <w:pStyle w:val="Compact"/>
      </w:pPr>
      <w:r>
        <w:t xml:space="preserve">The</w:t>
      </w:r>
      <w:r>
        <w:t xml:space="preserve"> </w:t>
      </w:r>
      <w:r>
        <w:t xml:space="preserve">Physicist</w:t>
      </w:r>
      <w:r>
        <w:t xml:space="preserve"> </w:t>
      </w:r>
      <w:r>
        <w:t xml:space="preserve">shall adhere to all health, safety, and environmental regulations applicable in</w:t>
      </w:r>
      <w:r>
        <w:t xml:space="preserve"> </w:t>
      </w:r>
      <w:r>
        <w:t xml:space="preserve">Saudi Arabia Riyadh</w:t>
      </w:r>
      <w:r>
        <w:t xml:space="preserve">, including those issued by the Ministry of Human Resources and Social Development and the Saudi Food and Drug Authority (SFDA) where relevant.</w:t>
      </w:r>
    </w:p>
    <w:p>
      <w:pPr>
        <w:numPr>
          <w:ilvl w:val="0"/>
          <w:numId w:val="1002"/>
        </w:numPr>
        <w:pStyle w:val="Compact"/>
      </w:pPr>
      <w:r>
        <w:t xml:space="preserve">Any changes to the scope of work beyond the parameters defined in this</w:t>
      </w:r>
      <w:r>
        <w:t xml:space="preserve"> </w:t>
      </w:r>
      <w:r>
        <w:t xml:space="preserve">Quotation Estimate</w:t>
      </w:r>
      <w:r>
        <w:t xml:space="preserve"> </w:t>
      </w:r>
      <w:r>
        <w:t xml:space="preserve">shall be subject to a formal change order and a supplementary</w:t>
      </w:r>
      <w:r>
        <w:t xml:space="preserve"> </w:t>
      </w:r>
      <w:r>
        <w:t xml:space="preserve">Quotation Estimate</w:t>
      </w:r>
      <w:r>
        <w:t xml:space="preserve"> </w:t>
      </w:r>
      <w:r>
        <w:t xml:space="preserve">approved in writing by both parties.</w:t>
      </w:r>
    </w:p>
    <w:p>
      <w:pPr>
        <w:numPr>
          <w:ilvl w:val="0"/>
          <w:numId w:val="1002"/>
        </w:numPr>
        <w:pStyle w:val="Compact"/>
      </w:pPr>
      <w:r>
        <w:t xml:space="preserve">Confidentiality: All proprietary information, client data, and project details shared during the engagement shall be treated as strictly confidential and shall not be disclosed to any third party without prior written consent.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and countersigned by both parties. The governing law for any disputes shall be the laws of the Kingdom of Saudi Arabia, with jurisdiction vested in the courts of</w:t>
      </w:r>
      <w:r>
        <w:t xml:space="preserve"> </w:t>
      </w:r>
      <w:r>
        <w:t xml:space="preserve">Saudi Arabia Riyadh</w:t>
      </w:r>
      <w:r>
        <w:t xml:space="preserve">.</w:t>
      </w:r>
    </w:p>
    <w:bookmarkEnd w:id="24"/>
    <w:bookmarkStart w:id="27" w:name="acceptance-and-authorization"/>
    <w:p>
      <w:pPr>
        <w:pStyle w:val="Heading2"/>
      </w:pPr>
      <w:r>
        <w:t xml:space="preserve">5. Acceptance and Authorization</w:t>
      </w:r>
    </w:p>
    <w:bookmarkStart w:id="25" w:name="prepared-by-service-provider"/>
    <w:p>
      <w:pPr>
        <w:pStyle w:val="Heading3"/>
      </w:pPr>
      <w:r>
        <w:t xml:space="preserve">Prepared By (Service Provider)</w:t>
      </w:r>
    </w:p>
    <w:p>
      <w:pPr>
        <w:pStyle w:val="FirstParagraph"/>
      </w:pPr>
      <w:r>
        <w:t xml:space="preserve">Advanced Scientific Solutions Ltd.</w:t>
      </w:r>
    </w:p>
    <w:p>
      <w:pPr>
        <w:pStyle w:val="BodyText"/>
      </w:pPr>
      <w:r>
        <w:t xml:space="preserve">Office: King Fahd Road, Al Olaya District,</w:t>
      </w:r>
      <w:r>
        <w:br/>
      </w:r>
      <w:r>
        <w:t xml:space="preserve">Saudi Arabia Riyadh 12211</w:t>
      </w:r>
    </w:p>
    <w:p>
      <w:pPr>
        <w:pStyle w:val="BodyText"/>
      </w:pPr>
      <w:r>
        <w:t xml:space="preserve">CR No: 1010XXXXXX</w:t>
      </w:r>
    </w:p>
    <w:p>
      <w:pPr>
        <w:pStyle w:val="BodyText"/>
      </w:pPr>
      <w:r>
        <w:t xml:space="preserve">Name: Dr. Ahmed Al-Rashid</w:t>
      </w:r>
      <w:r>
        <w:br/>
      </w:r>
      <w:r>
        <w:t xml:space="preserve">Title: Director of Scientific Services</w:t>
      </w:r>
      <w:r>
        <w:br/>
      </w:r>
      <w:r>
        <w:t xml:space="preserve">Signature &amp; Date: _________________________</w:t>
      </w:r>
    </w:p>
    <w:bookmarkEnd w:id="25"/>
    <w:bookmarkStart w:id="26" w:name="accepted-by-client"/>
    <w:p>
      <w:pPr>
        <w:pStyle w:val="Heading3"/>
      </w:pPr>
      <w:r>
        <w:t xml:space="preserve">Accepted By (Client)</w:t>
      </w:r>
    </w:p>
    <w:p>
      <w:pPr>
        <w:pStyle w:val="FirstParagraph"/>
      </w:pPr>
      <w:r>
        <w:t xml:space="preserve">Client Organization Name: _________________________</w:t>
      </w:r>
    </w:p>
    <w:p>
      <w:pPr>
        <w:pStyle w:val="BodyText"/>
      </w:pPr>
      <w:r>
        <w:t xml:space="preserve">Address: _________________________</w:t>
      </w:r>
    </w:p>
    <w:p>
      <w:pPr>
        <w:pStyle w:val="BodyText"/>
      </w:pPr>
      <w:r>
        <w:t xml:space="preserve">CR / VAT No: _________________________</w:t>
      </w:r>
    </w:p>
    <w:p>
      <w:pPr>
        <w:pStyle w:val="BodyText"/>
      </w:pPr>
      <w:r>
        <w:t xml:space="preserve">Name: _________________________</w:t>
      </w:r>
      <w:r>
        <w:br/>
      </w:r>
      <w:r>
        <w:t xml:space="preserve">Title: _________________________</w:t>
      </w:r>
      <w:r>
        <w:br/>
      </w:r>
      <w:r>
        <w:t xml:space="preserve">Signature &amp; Date: _________________________</w:t>
      </w:r>
    </w:p>
    <w:bookmarkEnd w:id="26"/>
    <w:p>
      <w:pPr>
        <w:pStyle w:val="BodyText"/>
      </w:pPr>
      <w:r>
        <w:t xml:space="preserve">This Quotation Estimate document (Ref: QE-PHY-2025-0472) is issued for the engagement of a Physicist in Saudi Arabia Riyadh. All rates are inclusive of professional fees and exclusive of VAT unless otherwise stated. This document is the property of Advanced Scientific Solutions Ltd. and may not be reproduced without written permission.</w:t>
      </w:r>
    </w:p>
    <w:p>
      <w:pPr>
        <w:pStyle w:val="BodyText"/>
      </w:pPr>
      <w:r>
        <w:t xml:space="preserve">© 2025 Advanced Scientific Solutions Ltd. | Saudi Arabia Riyadh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Saudi Arabia Riyadh</dc:title>
  <dc:creator/>
  <dc:language>en</dc:language>
  <cp:keywords/>
  <dcterms:created xsi:type="dcterms:W3CDTF">2026-10-10T05:00:45Z</dcterms:created>
  <dcterms:modified xsi:type="dcterms:W3CDTF">2026-10-10T05:00:45Z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