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Physicist Engagement Services</w:t>
      </w:r>
    </w:p>
    <w:p>
      <w:pPr>
        <w:pStyle w:val="BodyText"/>
      </w:pPr>
      <w:r>
        <w:t xml:space="preserve">Seoul, South Korea</w:t>
      </w:r>
    </w:p>
    <w:bookmarkEnd w:id="20"/>
    <w:p>
      <w:pPr>
        <w:pStyle w:val="BodyText"/>
      </w:pPr>
      <w:r>
        <w:rPr>
          <w:bCs/>
          <w:b/>
        </w:rPr>
        <w:t xml:space="preserve">Quotation No.:</w:t>
      </w:r>
      <w:r>
        <w:t xml:space="preserve"> </w:t>
      </w:r>
      <w:r>
        <w:t xml:space="preserve">QTE-SEOUL-2025-0472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Location:</w:t>
      </w:r>
      <w:r>
        <w:t xml:space="preserve"> </w:t>
      </w:r>
      <w:r>
        <w:t xml:space="preserve">Seoul, South Korea</w:t>
      </w:r>
    </w:p>
    <w:bookmarkStart w:id="21" w:name="issuing-organization"/>
    <w:p>
      <w:pPr>
        <w:pStyle w:val="Heading2"/>
      </w:pPr>
      <w:r>
        <w:t xml:space="preserve">1. Issuing Organization</w:t>
      </w:r>
    </w:p>
    <w:p>
      <w:pPr>
        <w:pStyle w:val="FirstParagraph"/>
      </w:pPr>
      <w:r>
        <w:rPr>
          <w:bCs/>
          <w:b/>
        </w:rPr>
        <w:t xml:space="preserve">Seoul Advanced Research &amp; Consulting Group (SARCG)</w:t>
      </w:r>
      <w:r>
        <w:br/>
      </w:r>
      <w:r>
        <w:t xml:space="preserve">42, Teheran-ro, Gangnam-gu, Seoul 06236, South Korea</w:t>
      </w:r>
      <w:r>
        <w:br/>
      </w:r>
      <w:r>
        <w:t xml:space="preserve">Registration No.: 123-45-67890</w:t>
      </w:r>
      <w:r>
        <w:br/>
      </w:r>
      <w:r>
        <w:t xml:space="preserve">Contact: procurement@sarcg-seoul.kr | Tel: +82-2-555-0147</w:t>
      </w:r>
      <w:r>
        <w:br/>
      </w:r>
      <w:r>
        <w:t xml:space="preserve">Representative: Dr. Min-Ji Park, Director of Scientific Services</w:t>
      </w:r>
    </w:p>
    <w:bookmarkEnd w:id="21"/>
    <w:bookmarkStart w:id="22" w:name="client-information"/>
    <w:p>
      <w:pPr>
        <w:pStyle w:val="Heading2"/>
      </w:pPr>
      <w:r>
        <w:t xml:space="preserve">2. Client Information</w:t>
      </w:r>
    </w:p>
    <w:p>
      <w:pPr>
        <w:pStyle w:val="FirstParagraph"/>
      </w:pPr>
      <w:r>
        <w:rPr>
          <w:bCs/>
          <w:b/>
        </w:rPr>
        <w:t xml:space="preserve">Prepared For:</w:t>
      </w:r>
      <w:r>
        <w:t xml:space="preserve"> </w:t>
      </w:r>
      <w:r>
        <w:t xml:space="preserve">[Client Organization Name]</w:t>
      </w:r>
      <w:r>
        <w:br/>
      </w:r>
      <w:r>
        <w:rPr>
          <w:bCs/>
          <w:b/>
        </w:rPr>
        <w:t xml:space="preserve">Address:</w:t>
      </w:r>
      <w:r>
        <w:t xml:space="preserve"> </w:t>
      </w:r>
      <w:r>
        <w:t xml:space="preserve">[Client Address], Seoul, South Korea</w:t>
      </w:r>
      <w:r>
        <w:br/>
      </w:r>
      <w:r>
        <w:rPr>
          <w:bCs/>
          <w:b/>
        </w:rPr>
        <w:t xml:space="preserve">Point of Contact:</w:t>
      </w:r>
      <w:r>
        <w:t xml:space="preserve"> </w:t>
      </w:r>
      <w:r>
        <w:t xml:space="preserve">[Name], Procurement Department</w:t>
      </w:r>
      <w:r>
        <w:br/>
      </w:r>
      <w:r>
        <w:rPr>
          <w:bCs/>
          <w:b/>
        </w:rPr>
        <w:t xml:space="preserve">Project Reference:</w:t>
      </w:r>
      <w:r>
        <w:t xml:space="preserve"> </w:t>
      </w:r>
      <w:r>
        <w:t xml:space="preserve">[Internal Project Code]</w:t>
      </w:r>
    </w:p>
    <w:bookmarkEnd w:id="22"/>
    <w:bookmarkStart w:id="23" w:name="Xf42ec0dcbb81c57f6f9fae8c9dae4814a25ef30"/>
    <w:p>
      <w:pPr>
        <w:pStyle w:val="Heading2"/>
      </w:pPr>
      <w:r>
        <w:t xml:space="preserve">3. Scope of Services – Physicist Engagement in South Korea Seoul</w:t>
      </w:r>
    </w:p>
    <w:p>
      <w:pPr>
        <w:pStyle w:val="FirstParagraph"/>
      </w:pPr>
      <w:r>
        <w:t xml:space="preserve">This</w:t>
      </w:r>
      <w:r>
        <w:t xml:space="preserve"> </w:t>
      </w:r>
      <w:r>
        <w:t xml:space="preserve">Quotation Estimate</w:t>
      </w:r>
      <w:r>
        <w:t xml:space="preserve"> </w:t>
      </w:r>
      <w:r>
        <w:t xml:space="preserve">is issued by Seoul Advanced Research &amp; Consulting Group (SARCG) to provide a comprehensive and transparent cost breakdown for the professional engagement of a qualified</w:t>
      </w:r>
      <w:r>
        <w:t xml:space="preserve"> </w:t>
      </w:r>
      <w:r>
        <w:t xml:space="preserve">Physicist</w:t>
      </w:r>
      <w:r>
        <w:t xml:space="preserve"> </w:t>
      </w:r>
      <w:r>
        <w:t xml:space="preserve">to be deployed and utilized within the metropolitan area of</w:t>
      </w:r>
      <w:r>
        <w:t xml:space="preserve"> </w:t>
      </w:r>
      <w:r>
        <w:t xml:space="preserve">South Korea Seoul</w:t>
      </w:r>
      <w:r>
        <w:t xml:space="preserve">. The services outlined herein encompass the full spectrum of scientific consulting, experimental design, data analysis, and technical advisory work that a senior-level Physicist will deliver to the client organization.</w:t>
      </w:r>
    </w:p>
    <w:p>
      <w:pPr>
        <w:pStyle w:val="BodyText"/>
      </w:pPr>
      <w:r>
        <w:t xml:space="preserve">The Physicist engaged under this Quotation Estimate shall hold a minimum of a Doctorate (Ph.D.) in Physics or a closely related field (including but not limited to Quantum Mechanics, Condensed Matter Physics, Nuclear Physics, or Applied Physics) and shall possess a minimum of ten (10) years of post-doctoral research or industry experience. The Physicist will be based at the client's designated facility in Seoul, South Korea, and will operate in accordance with all applicable Korean labor regulations, scientific ethics codes, and institutional safety protocols.</w:t>
      </w:r>
    </w:p>
    <w:bookmarkEnd w:id="23"/>
    <w:bookmarkStart w:id="24" w:name="detailed-cost-breakdown"/>
    <w:p>
      <w:pPr>
        <w:pStyle w:val="Heading2"/>
      </w:pPr>
      <w:r>
        <w:t xml:space="preserve">4.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Duration / Qty</w:t>
            </w:r>
          </w:p>
        </w:tc>
        <w:tc>
          <w:tcPr/>
          <w:p>
            <w:pPr>
              <w:pStyle w:val="Compact"/>
              <w:jc w:val="left"/>
            </w:pPr>
            <w:r>
              <w:t xml:space="preserve">Unit Rate (KRW)</w:t>
            </w:r>
          </w:p>
        </w:tc>
        <w:tc>
          <w:tcPr/>
          <w:p>
            <w:pPr>
              <w:pStyle w:val="Compact"/>
              <w:jc w:val="left"/>
            </w:pPr>
            <w:r>
              <w:t xml:space="preserve">Amount (KRW)</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Physicist – Monthly Professional Fee (full-time engagement, 40 hrs/week, based in Seoul, South Korea)</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c>
          <w:tcPr/>
          <w:p>
            <w:pPr>
              <w:pStyle w:val="Compact"/>
              <w:jc w:val="left"/>
            </w:pPr>
            <w:r>
              <w:t xml:space="preserve">Inclusive of statutory benefits</w:t>
            </w:r>
          </w:p>
        </w:tc>
      </w:tr>
      <w:tr>
        <w:tc>
          <w:tcPr/>
          <w:p>
            <w:pPr>
              <w:pStyle w:val="Compact"/>
              <w:jc w:val="left"/>
            </w:pPr>
            <w:r>
              <w:t xml:space="preserve">2</w:t>
            </w:r>
          </w:p>
        </w:tc>
        <w:tc>
          <w:tcPr/>
          <w:p>
            <w:pPr>
              <w:pStyle w:val="Compact"/>
              <w:jc w:val="left"/>
            </w:pPr>
            <w:r>
              <w:t xml:space="preserve">Physicist Relocation &amp; Onboarding Package (visa processing, housing allowance in Seoul, initial equipment setup)</w:t>
            </w:r>
          </w:p>
        </w:tc>
        <w:tc>
          <w:tcPr/>
          <w:p>
            <w:pPr>
              <w:pStyle w:val="Compact"/>
              <w:jc w:val="left"/>
            </w:pPr>
            <w:r>
              <w:t xml:space="preserve">One-time</w:t>
            </w:r>
          </w:p>
        </w:tc>
        <w:tc>
          <w:tcPr/>
          <w:p>
            <w:pPr>
              <w:pStyle w:val="Compact"/>
              <w:jc w:val="left"/>
            </w:pPr>
            <w:r>
              <w:t xml:space="preserve">8,200,000</w:t>
            </w:r>
          </w:p>
        </w:tc>
        <w:tc>
          <w:tcPr/>
          <w:p>
            <w:pPr>
              <w:pStyle w:val="Compact"/>
              <w:jc w:val="left"/>
            </w:pPr>
            <w:r>
              <w:t xml:space="preserve">8,200,000</w:t>
            </w:r>
          </w:p>
        </w:tc>
        <w:tc>
          <w:tcPr/>
          <w:p>
            <w:pPr>
              <w:pStyle w:val="Compact"/>
              <w:jc w:val="left"/>
            </w:pPr>
            <w:r>
              <w:t xml:space="preserve">Covers E-7 visa, 3-month housing</w:t>
            </w:r>
          </w:p>
        </w:tc>
      </w:tr>
      <w:tr>
        <w:tc>
          <w:tcPr/>
          <w:p>
            <w:pPr>
              <w:pStyle w:val="Compact"/>
              <w:jc w:val="left"/>
            </w:pPr>
            <w:r>
              <w:t xml:space="preserve">3</w:t>
            </w:r>
          </w:p>
        </w:tc>
        <w:tc>
          <w:tcPr/>
          <w:p>
            <w:pPr>
              <w:pStyle w:val="Compact"/>
              <w:jc w:val="left"/>
            </w:pPr>
            <w:r>
              <w:t xml:space="preserve">Specialized Laboratory Equipment &amp; Software Licensing (simulation tools, data acquisition systems)</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Annual license renewal included</w:t>
            </w:r>
          </w:p>
        </w:tc>
      </w:tr>
      <w:tr>
        <w:tc>
          <w:tcPr/>
          <w:p>
            <w:pPr>
              <w:pStyle w:val="Compact"/>
              <w:jc w:val="left"/>
            </w:pPr>
            <w:r>
              <w:t xml:space="preserve">4</w:t>
            </w:r>
          </w:p>
        </w:tc>
        <w:tc>
          <w:tcPr/>
          <w:p>
            <w:pPr>
              <w:pStyle w:val="Compact"/>
              <w:jc w:val="left"/>
            </w:pPr>
            <w:r>
              <w:t xml:space="preserve">Research Collaboration &amp; Conference Participation (minimum 2 international conferences per year)</w:t>
            </w:r>
          </w:p>
        </w:tc>
        <w:tc>
          <w:tcPr/>
          <w:p>
            <w:pPr>
              <w:pStyle w:val="Compact"/>
              <w:jc w:val="left"/>
            </w:pPr>
            <w:r>
              <w:t xml:space="preserve">12 months</w:t>
            </w:r>
          </w:p>
        </w:tc>
        <w:tc>
          <w:tcPr/>
          <w:p>
            <w:pPr>
              <w:pStyle w:val="Compact"/>
              <w:jc w:val="left"/>
            </w:pPr>
            <w:r>
              <w:t xml:space="preserve">3,800,000</w:t>
            </w:r>
          </w:p>
        </w:tc>
        <w:tc>
          <w:tcPr/>
          <w:p>
            <w:pPr>
              <w:pStyle w:val="Compact"/>
              <w:jc w:val="left"/>
            </w:pPr>
            <w:r>
              <w:t xml:space="preserve">45,600,000</w:t>
            </w:r>
          </w:p>
        </w:tc>
        <w:tc>
          <w:tcPr/>
          <w:p>
            <w:pPr>
              <w:pStyle w:val="Compact"/>
              <w:jc w:val="left"/>
            </w:pPr>
            <w:r>
              <w:t xml:space="preserve">Travel, registration, accommodation</w:t>
            </w:r>
          </w:p>
        </w:tc>
      </w:tr>
      <w:tr>
        <w:tc>
          <w:tcPr/>
          <w:p>
            <w:pPr>
              <w:pStyle w:val="Compact"/>
              <w:jc w:val="left"/>
            </w:pPr>
            <w:r>
              <w:t xml:space="preserve">5</w:t>
            </w:r>
          </w:p>
        </w:tc>
        <w:tc>
          <w:tcPr/>
          <w:p>
            <w:pPr>
              <w:pStyle w:val="Compact"/>
              <w:jc w:val="left"/>
            </w:pPr>
            <w:r>
              <w:t xml:space="preserve">Technical Reporting &amp; Documentation (monthly progress reports, quarterly technical summaries, final deliverable report)</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c>
          <w:tcPr/>
          <w:p>
            <w:pPr>
              <w:pStyle w:val="Compact"/>
              <w:jc w:val="left"/>
            </w:pPr>
            <w:r>
              <w:t xml:space="preserve">Delivered in English &amp; Korean</w:t>
            </w:r>
          </w:p>
        </w:tc>
      </w:tr>
      <w:tr>
        <w:tc>
          <w:tcPr/>
          <w:p>
            <w:pPr>
              <w:pStyle w:val="Compact"/>
              <w:jc w:val="left"/>
            </w:pPr>
            <w:r>
              <w:t xml:space="preserve">6</w:t>
            </w:r>
          </w:p>
        </w:tc>
        <w:tc>
          <w:tcPr/>
          <w:p>
            <w:pPr>
              <w:pStyle w:val="Compact"/>
              <w:jc w:val="left"/>
            </w:pPr>
            <w:r>
              <w:t xml:space="preserve">Intellectual Property &amp; Patent Filing Support (Korean Intellectual Property Office – KIPO filings)</w:t>
            </w:r>
          </w:p>
        </w:tc>
        <w:tc>
          <w:tcPr/>
          <w:p>
            <w:pPr>
              <w:pStyle w:val="Compact"/>
              <w:jc w:val="left"/>
            </w:pPr>
            <w:r>
              <w:t xml:space="preserve">As required</w:t>
            </w:r>
          </w:p>
        </w:tc>
        <w:tc>
          <w:tcPr/>
          <w:p>
            <w:pPr>
              <w:pStyle w:val="Compact"/>
              <w:jc w:val="left"/>
            </w:pPr>
            <w:r>
              <w:t xml:space="preserve">2,500,000</w:t>
            </w:r>
          </w:p>
        </w:tc>
        <w:tc>
          <w:tcPr/>
          <w:p>
            <w:pPr>
              <w:pStyle w:val="Compact"/>
              <w:jc w:val="left"/>
            </w:pPr>
            <w:r>
              <w:t xml:space="preserve">12,500,000</w:t>
            </w:r>
          </w:p>
        </w:tc>
        <w:tc>
          <w:tcPr/>
          <w:p>
            <w:pPr>
              <w:pStyle w:val="Compact"/>
              <w:jc w:val="left"/>
            </w:pPr>
            <w:r>
              <w:t xml:space="preserve">Up to 5 filings included</w:t>
            </w:r>
          </w:p>
        </w:tc>
      </w:tr>
      <w:tr>
        <w:tc>
          <w:tcPr/>
          <w:p>
            <w:pPr>
              <w:pStyle w:val="Compact"/>
              <w:jc w:val="left"/>
            </w:pPr>
            <w:r>
              <w:t xml:space="preserve">7</w:t>
            </w:r>
          </w:p>
        </w:tc>
        <w:tc>
          <w:tcPr/>
          <w:p>
            <w:pPr>
              <w:pStyle w:val="Compact"/>
              <w:jc w:val="left"/>
            </w:pPr>
            <w:r>
              <w:t xml:space="preserve">Administrative &amp; Project Management Overhead (SARCG coordination, compliance monitoring, insurance)</w:t>
            </w:r>
          </w:p>
        </w:tc>
        <w:tc>
          <w:tcPr/>
          <w:p>
            <w:pPr>
              <w:pStyle w:val="Compact"/>
              <w:jc w:val="left"/>
            </w:pPr>
            <w:r>
              <w:t xml:space="preserve">12 months</w:t>
            </w:r>
          </w:p>
        </w:tc>
        <w:tc>
          <w:tcPr/>
          <w:p>
            <w:pPr>
              <w:pStyle w:val="Compact"/>
              <w:jc w:val="left"/>
            </w:pPr>
            <w:r>
              <w:t xml:space="preserve">2,100,000</w:t>
            </w:r>
          </w:p>
        </w:tc>
        <w:tc>
          <w:tcPr/>
          <w:p>
            <w:pPr>
              <w:pStyle w:val="Compact"/>
              <w:jc w:val="left"/>
            </w:pPr>
            <w:r>
              <w:t xml:space="preserve">25,200,000</w:t>
            </w:r>
          </w:p>
        </w:tc>
        <w:tc>
          <w:tcPr/>
          <w:p>
            <w:pPr>
              <w:pStyle w:val="Compact"/>
              <w:jc w:val="left"/>
            </w:pPr>
            <w:r>
              <w:t xml:space="preserve">10% management fee</w:t>
            </w:r>
          </w:p>
        </w:tc>
      </w:tr>
      <w:tr>
        <w:tc>
          <w:tcPr/>
          <w:p>
            <w:pPr>
              <w:pStyle w:val="Compact"/>
              <w:jc w:val="left"/>
            </w:pPr>
            <w:r>
              <w:t xml:space="preserve">8</w:t>
            </w:r>
          </w:p>
        </w:tc>
        <w:tc>
          <w:tcPr/>
          <w:p>
            <w:pPr>
              <w:pStyle w:val="Compact"/>
              <w:jc w:val="left"/>
            </w:pPr>
            <w:r>
              <w:t xml:space="preserve">Contingency &amp; Unforeseen Scientific Expenses (calibration, additional reagents, emergency equipment)</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15,000,000</w:t>
            </w:r>
          </w:p>
        </w:tc>
        <w:tc>
          <w:tcPr/>
          <w:p>
            <w:pPr>
              <w:pStyle w:val="Compact"/>
              <w:jc w:val="left"/>
            </w:pPr>
            <w:r>
              <w:t xml:space="preserve">5% contingency reserve</w:t>
            </w:r>
          </w:p>
        </w:tc>
      </w:tr>
      <w:tr>
        <w:tc>
          <w:tcPr>
            <w:gridSpan w:val="4"/>
          </w:tcPr>
          <w:p>
            <w:pPr>
              <w:pStyle w:val="Compact"/>
              <w:jc w:val="left"/>
            </w:pPr>
            <w:r>
              <w:t xml:space="preserve">TOTAL ESTIMATED COST (KRW)</w:t>
            </w:r>
          </w:p>
        </w:tc>
        <w:tc>
          <w:tcPr/>
          <w:p>
            <w:pPr>
              <w:pStyle w:val="Compact"/>
              <w:jc w:val="left"/>
            </w:pPr>
            <w:r>
              <w:t xml:space="preserve">396,900,000</w:t>
            </w:r>
          </w:p>
        </w:tc>
        <w:tc>
          <w:tcPr/>
          <w:p>
            <w:pPr>
              <w:pStyle w:val="Compact"/>
            </w:pPr>
          </w:p>
        </w:tc>
      </w:tr>
      <w:tr>
        <w:tc>
          <w:tcPr>
            <w:gridSpan w:val="4"/>
          </w:tcPr>
          <w:p>
            <w:pPr>
              <w:pStyle w:val="Compact"/>
              <w:jc w:val="left"/>
            </w:pPr>
            <w:r>
              <w:t xml:space="preserve">TOTAL ESTIMATED COST (USD, approx. at 1,350 KRW/USD)</w:t>
            </w:r>
          </w:p>
        </w:tc>
        <w:tc>
          <w:tcPr/>
          <w:p>
            <w:pPr>
              <w:pStyle w:val="Compact"/>
              <w:jc w:val="left"/>
            </w:pPr>
            <w:r>
              <w:t xml:space="preserve">$294,000.00</w:t>
            </w:r>
          </w:p>
        </w:tc>
        <w:tc>
          <w:tcPr/>
          <w:p>
            <w:pPr>
              <w:pStyle w:val="Compact"/>
            </w:pPr>
          </w:p>
        </w:tc>
      </w:tr>
    </w:tbl>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a period of thirty (30) calendar days from the date of issuance. Beyond this period, all rates and terms are subject to revision without prior notice.</w:t>
      </w:r>
    </w:p>
    <w:p>
      <w:pPr>
        <w:numPr>
          <w:ilvl w:val="0"/>
          <w:numId w:val="1001"/>
        </w:numPr>
        <w:pStyle w:val="Compact"/>
      </w:pPr>
      <w:r>
        <w:t xml:space="preserve">Payment shall be structured as follows: 30% advance payment upon contract execution, 40% at the six-month milestone, and 30% upon successful completion and delivery of the final Physicist project report.</w:t>
      </w:r>
    </w:p>
    <w:p>
      <w:pPr>
        <w:numPr>
          <w:ilvl w:val="0"/>
          <w:numId w:val="1001"/>
        </w:numPr>
        <w:pStyle w:val="Compact"/>
      </w:pPr>
      <w:r>
        <w:t xml:space="preserve">All payments shall be made in Korean Won (KRW) via bank transfer to the SARCG designated account in Seoul, South Korea. International wire transfers in USD will be converted at the Bank of Korea's mid-market rate on the day of transaction.</w:t>
      </w:r>
    </w:p>
    <w:p>
      <w:pPr>
        <w:numPr>
          <w:ilvl w:val="0"/>
          <w:numId w:val="1001"/>
        </w:numPr>
        <w:pStyle w:val="Compact"/>
      </w:pPr>
      <w:r>
        <w:t xml:space="preserve">The Physicist engaged under this Quotation Estimate shall be bound by a strict Non-Disclosure Agreement (NDA) and Intellectual Property Assignment Agreement in accordance with the Korean Commercial Act and the Korean Patent Act.</w:t>
      </w:r>
    </w:p>
    <w:p>
      <w:pPr>
        <w:numPr>
          <w:ilvl w:val="0"/>
          <w:numId w:val="1001"/>
        </w:numPr>
        <w:pStyle w:val="Compact"/>
      </w:pPr>
      <w:r>
        <w:t xml:space="preserve">SARCG shall ensure full compliance with the Korean Employment Act, the National Pension Act, and all relevant municipal regulations applicable to foreign professional workers residing and working in Seoul, South Korea.</w:t>
      </w:r>
    </w:p>
    <w:p>
      <w:pPr>
        <w:numPr>
          <w:ilvl w:val="0"/>
          <w:numId w:val="1001"/>
        </w:numPr>
        <w:pStyle w:val="Compact"/>
      </w:pPr>
      <w:r>
        <w:t xml:space="preserve">Any scope changes, additional Physicist engagements, or extended project timelines must be documented in a formal Change Order signed by both parties before work commences.</w:t>
      </w:r>
    </w:p>
    <w:p>
      <w:pPr>
        <w:numPr>
          <w:ilvl w:val="0"/>
          <w:numId w:val="1001"/>
        </w:numPr>
        <w:pStyle w:val="Compact"/>
      </w:pPr>
      <w:r>
        <w:t xml:space="preserve">This Quotation Estimate does not constitute a binding contract. A formal Service Agreement must be executed by both parties prior to the commencement of any services.</w:t>
      </w:r>
    </w:p>
    <w:p>
      <w:pPr>
        <w:numPr>
          <w:ilvl w:val="0"/>
          <w:numId w:val="1001"/>
        </w:numPr>
        <w:pStyle w:val="Compact"/>
      </w:pPr>
      <w:r>
        <w:t xml:space="preserve">Disputes arising from this Quotation Estimate or any subsequent agreement shall be resolved through arbitration in Seoul, South Korea, under the rules of the Korean Commercial Arbitration Board (KCAB).</w:t>
      </w:r>
    </w:p>
    <w:bookmarkEnd w:id="25"/>
    <w:bookmarkStart w:id="26" w:name="deliverables-and-performance-metrics"/>
    <w:p>
      <w:pPr>
        <w:pStyle w:val="Heading2"/>
      </w:pPr>
      <w:r>
        <w:t xml:space="preserve">6. Deliverables and Performance Metrics</w:t>
      </w:r>
    </w:p>
    <w:p>
      <w:pPr>
        <w:pStyle w:val="FirstParagraph"/>
      </w:pPr>
      <w:r>
        <w:t xml:space="preserve">The Physicist engaged under this Quotation Estimate shall deliver the following key outputs during the twelve-month engagement period in South Korea Seoul:</w:t>
      </w:r>
    </w:p>
    <w:p>
      <w:pPr>
        <w:numPr>
          <w:ilvl w:val="0"/>
          <w:numId w:val="1002"/>
        </w:numPr>
        <w:pStyle w:val="Compact"/>
      </w:pPr>
      <w:r>
        <w:t xml:space="preserve">Monthly technical progress reports detailing experimental findings, data analysis, and recommendations.</w:t>
      </w:r>
    </w:p>
    <w:p>
      <w:pPr>
        <w:numPr>
          <w:ilvl w:val="0"/>
          <w:numId w:val="1002"/>
        </w:numPr>
        <w:pStyle w:val="Compact"/>
      </w:pPr>
      <w:r>
        <w:t xml:space="preserve">Quarterly strategic review presentations to the client's executive team.</w:t>
      </w:r>
    </w:p>
    <w:p>
      <w:pPr>
        <w:numPr>
          <w:ilvl w:val="0"/>
          <w:numId w:val="1002"/>
        </w:numPr>
        <w:pStyle w:val="Compact"/>
      </w:pPr>
      <w:r>
        <w:t xml:space="preserve">A comprehensive final project report (minimum 150 pages) summarizing all research outcomes, methodologies, and future recommendations.</w:t>
      </w:r>
    </w:p>
    <w:p>
      <w:pPr>
        <w:numPr>
          <w:ilvl w:val="0"/>
          <w:numId w:val="1002"/>
        </w:numPr>
        <w:pStyle w:val="Compact"/>
      </w:pPr>
      <w:r>
        <w:t xml:space="preserve">Minimum of two (2) peer-reviewed publications in internationally recognized physics journals.</w:t>
      </w:r>
    </w:p>
    <w:p>
      <w:pPr>
        <w:numPr>
          <w:ilvl w:val="0"/>
          <w:numId w:val="1002"/>
        </w:numPr>
        <w:pStyle w:val="Compact"/>
      </w:pPr>
      <w:r>
        <w:t xml:space="preserve">Full transfer of all data, models, and intellectual property to the client upon project completion.</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this Quotation Estimate accurately reflects the agreed-upon scope, cost, and terms for the Physicist engagement in South Korea Seoul. This document serves as the foundational reference for the subsequent formal Service Agreement.</w:t>
      </w:r>
    </w:p>
    <w:p>
      <w:pPr>
        <w:pStyle w:val="BodyText"/>
      </w:pPr>
      <w:r>
        <w:rPr>
          <w:bCs/>
          <w:b/>
        </w:rPr>
        <w:t xml:space="preserve">For Seoul Advanced Research &amp; Consulting Group</w:t>
      </w:r>
    </w:p>
    <w:p>
      <w:pPr>
        <w:pStyle w:val="BodyText"/>
      </w:pPr>
      <w:r>
        <w:t xml:space="preserve">Dr. Min-Ji Park</w:t>
      </w:r>
      <w:r>
        <w:br/>
      </w:r>
      <w:r>
        <w:t xml:space="preserve">Director of Scientific Services</w:t>
      </w:r>
      <w:r>
        <w:br/>
      </w:r>
      <w:r>
        <w:t xml:space="preserve">Date: _______________</w:t>
      </w:r>
    </w:p>
    <w:p>
      <w:pPr>
        <w:pStyle w:val="BodyText"/>
      </w:pPr>
      <w:r>
        <w:rPr>
          <w:bCs/>
          <w:b/>
        </w:rPr>
        <w:t xml:space="preserve">For the Client Organization</w:t>
      </w:r>
    </w:p>
    <w:p>
      <w:pPr>
        <w:pStyle w:val="BodyText"/>
      </w:pPr>
      <w:r>
        <w:t xml:space="preserve">[Authorized Signatory Name]</w:t>
      </w:r>
      <w:r>
        <w:br/>
      </w:r>
      <w:r>
        <w:t xml:space="preserve">[Title / Position]</w:t>
      </w:r>
      <w:r>
        <w:br/>
      </w:r>
      <w:r>
        <w:t xml:space="preserve">Date: _______________</w:t>
      </w:r>
    </w:p>
    <w:p>
      <w:pPr>
        <w:pStyle w:val="BodyText"/>
      </w:pPr>
      <w:r>
        <w:t xml:space="preserve">Quotation Estimate No. QTE-SEOUL-2025-0472 | Seoul Advanced Research &amp; Consulting Group | 42 Teheran-ro, Gangnam-gu, Seoul, South Korea</w:t>
      </w:r>
    </w:p>
    <w:p>
      <w:pPr>
        <w:pStyle w:val="BodyText"/>
      </w:pPr>
      <w:r>
        <w:t xml:space="preserve">This document is confidential and intended solely for the named recipient. Unauthorized reproduction or distribution is prohibited under Korean law.</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South Korea Seoul</dc:title>
  <dc:creator/>
  <dc:language>en</dc:language>
  <cp:keywords/>
  <dcterms:created xsi:type="dcterms:W3CDTF">2026-10-10T06:39:38Z</dcterms:created>
  <dcterms:modified xsi:type="dcterms:W3CDTF">2026-10-10T06:39:38Z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