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antum-sciences-advisory-group-co.-ltd."/>
    <w:p>
      <w:pPr>
        <w:pStyle w:val="Heading1"/>
      </w:pPr>
      <w:r>
        <w:t xml:space="preserve">Quantum Sciences &amp; Advisory Group Co., Ltd.</w:t>
      </w:r>
    </w:p>
    <w:p>
      <w:pPr>
        <w:pStyle w:val="FirstParagraph"/>
      </w:pPr>
      <w:r>
        <w:t xml:space="preserve">128 Sukhumvit Road, Suite 2104, Thung Phaya Thai, Khet Wattana</w:t>
      </w:r>
    </w:p>
    <w:p>
      <w:pPr>
        <w:pStyle w:val="BodyText"/>
      </w:pPr>
      <w:r>
        <w:t xml:space="preserve">Bangkok 10110, Thailand</w:t>
      </w:r>
    </w:p>
    <w:p>
      <w:pPr>
        <w:pStyle w:val="BodyText"/>
      </w:pPr>
      <w:r>
        <w:t xml:space="preserve">Tel: +66 (0) 2 255 8890 | Email: quotations@quantumsciences-th.com</w:t>
      </w:r>
    </w:p>
    <w:p>
      <w:pPr>
        <w:pStyle w:val="BodyText"/>
      </w:pPr>
      <w:r>
        <w:t xml:space="preserve">Company Registration No. 0105556789012 | VAT No. 0105556789012</w:t>
      </w:r>
    </w:p>
    <w:bookmarkEnd w:id="20"/>
    <w:p>
      <w:pPr>
        <w:pStyle w:val="BodyText"/>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QSE-2025-BKK-0472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Dr. Ananya Rattanakul, Chief Technology Officer</w:t>
            </w:r>
            <w:r>
              <w:br/>
            </w:r>
            <w:r>
              <w:t xml:space="preserve">Chulalongkorn Industrial Research Institute</w:t>
            </w:r>
            <w:r>
              <w:br/>
            </w:r>
            <w:r>
              <w:t xml:space="preserve">254 Phayathai Road, Pathum Wan, Bangkok 10330, Thailand</w:t>
            </w:r>
          </w:p>
        </w:tc>
      </w:tr>
      <w:tr>
        <w:tc>
          <w:tcPr/>
          <w:p>
            <w:pPr>
              <w:pStyle w:val="Compact"/>
              <w:jc w:val="left"/>
            </w:pPr>
            <w:r>
              <w:t xml:space="preserve">Project Reference:</w:t>
            </w:r>
          </w:p>
        </w:tc>
        <w:tc>
          <w:tcPr/>
          <w:p>
            <w:pPr>
              <w:pStyle w:val="Compact"/>
              <w:jc w:val="left"/>
            </w:pPr>
            <w:r>
              <w:t xml:space="preserve">Engagement of a Senior Physicist for Advanced Materials Research Programme – Phase II</w:t>
            </w:r>
          </w:p>
        </w:tc>
      </w:tr>
      <w:tr>
        <w:tc>
          <w:tcPr/>
          <w:p>
            <w:pPr>
              <w:pStyle w:val="Compact"/>
              <w:jc w:val="left"/>
            </w:pPr>
            <w:r>
              <w:t xml:space="preserve">Service Location:</w:t>
            </w:r>
          </w:p>
        </w:tc>
        <w:tc>
          <w:tcPr/>
          <w:p>
            <w:pPr>
              <w:pStyle w:val="Compact"/>
              <w:jc w:val="left"/>
            </w:pPr>
            <w:r>
              <w:t xml:space="preserve">Bangkok, Thailand (Primary) with occasional travel to Chiang Mai and Rayong facilities</w:t>
            </w:r>
          </w:p>
        </w:tc>
      </w:tr>
    </w:tbl>
    <w:bookmarkStart w:id="21" w:name="Xff11da415aa34a87752e0c45c6944428130e641"/>
    <w:p>
      <w:pPr>
        <w:pStyle w:val="Heading2"/>
      </w:pPr>
      <w:r>
        <w:t xml:space="preserve">1. Scope of Services – Physicist Engagement in Thailand Bangkok</w:t>
      </w:r>
    </w:p>
    <w:p>
      <w:pPr>
        <w:pStyle w:val="FirstParagraph"/>
      </w:pPr>
      <w:r>
        <w:t xml:space="preserve">This</w:t>
      </w:r>
      <w:r>
        <w:t xml:space="preserve"> </w:t>
      </w:r>
      <w:r>
        <w:t xml:space="preserve">Quotation Estimate</w:t>
      </w:r>
      <w:r>
        <w:t xml:space="preserve"> </w:t>
      </w:r>
      <w:r>
        <w:t xml:space="preserve">is issued by Quantum Sciences &amp; Advisory Group Co., Ltd. to formally propose the professional services of a</w:t>
      </w:r>
      <w:r>
        <w:t xml:space="preserve"> </w:t>
      </w:r>
      <w:r>
        <w:t xml:space="preserve">Physicist</w:t>
      </w:r>
      <w:r>
        <w:t xml:space="preserve"> </w:t>
      </w:r>
      <w:r>
        <w:t xml:space="preserve">to be deployed and utilized within the Bangkok, Thailand operational environment. The</w:t>
      </w:r>
      <w:r>
        <w:t xml:space="preserve"> </w:t>
      </w:r>
      <w:r>
        <w:t xml:space="preserve">Physicist</w:t>
      </w:r>
      <w:r>
        <w:t xml:space="preserve"> </w:t>
      </w:r>
      <w:r>
        <w:t xml:space="preserve">engaged under this quotation shall hold a minimum of a Doctorate (Ph.D.) in Theoretical or Applied Physics, with no fewer than twelve (12) years of post-doctoral research experience in condensed matter physics, quantum materials, or nanoscale engineering. The</w:t>
      </w:r>
      <w:r>
        <w:t xml:space="preserve"> </w:t>
      </w:r>
      <w:r>
        <w:t xml:space="preserve">Physicist</w:t>
      </w:r>
      <w:r>
        <w:t xml:space="preserve"> </w:t>
      </w:r>
      <w:r>
        <w:t xml:space="preserve">will be based at the client's Bangkok laboratory premises and will report directly to the Chief Technology Officer.</w:t>
      </w:r>
    </w:p>
    <w:p>
      <w:pPr>
        <w:pStyle w:val="BodyText"/>
      </w:pPr>
      <w:r>
        <w:t xml:space="preserve">The engagement is structured to support the Advanced Materials Research Programme – Phase II, which requires specialized</w:t>
      </w:r>
      <w:r>
        <w:t xml:space="preserve"> </w:t>
      </w:r>
      <w:r>
        <w:t xml:space="preserve">Physicist</w:t>
      </w:r>
      <w:r>
        <w:t xml:space="preserve"> </w:t>
      </w:r>
      <w:r>
        <w:t xml:space="preserve">expertise in computational modelling of superconducting compounds, spectroscopic analysis, and the development of novel photonic devices. All work will be conducted in compliance with the National Science, Technology and Innovation Policy and Plan of Thailand (13th Plan, 2023–2027) and the regulations of the National Science, Research and Innovation Development Agency (NSRF) of Thailand.</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(THB)</w:t>
            </w:r>
          </w:p>
        </w:tc>
        <w:tc>
          <w:tcPr/>
          <w:p>
            <w:pPr>
              <w:pStyle w:val="Compact"/>
              <w:jc w:val="left"/>
            </w:pPr>
            <w:r>
              <w:t xml:space="preserve">Amount (THB)</w:t>
            </w:r>
          </w:p>
        </w:tc>
        <w:tc>
          <w:tcPr/>
          <w:p>
            <w:pPr>
              <w:pStyle w:val="Compact"/>
              <w:jc w:val="left"/>
            </w:pPr>
            <w:r>
              <w:t xml:space="preserve">VAT 7%</w:t>
            </w:r>
          </w:p>
        </w:tc>
      </w:tr>
      <w:tr>
        <w:tc>
          <w:tcPr/>
          <w:p>
            <w:pPr>
              <w:pStyle w:val="Compact"/>
              <w:jc w:val="left"/>
            </w:pPr>
            <w:r>
              <w:t xml:space="preserve">1</w:t>
            </w:r>
          </w:p>
        </w:tc>
        <w:tc>
          <w:tcPr/>
          <w:p>
            <w:pPr>
              <w:pStyle w:val="Compact"/>
              <w:jc w:val="left"/>
            </w:pPr>
            <w:r>
              <w:t xml:space="preserve">Senior</w:t>
            </w:r>
            <w:r>
              <w:t xml:space="preserve"> </w:t>
            </w:r>
            <w:r>
              <w:t xml:space="preserve">Physicist</w:t>
            </w:r>
            <w:r>
              <w:t xml:space="preserve"> </w:t>
            </w:r>
            <w:r>
              <w:t xml:space="preserve">– Full-time research and development engagement (computational modelling, experimental design, data analysis)</w:t>
            </w:r>
          </w:p>
        </w:tc>
        <w:tc>
          <w:tcPr/>
          <w:p>
            <w:pPr>
              <w:pStyle w:val="Compact"/>
              <w:jc w:val="left"/>
            </w:pPr>
            <w:r>
              <w:t xml:space="preserve">12 months</w:t>
            </w:r>
          </w:p>
        </w:tc>
        <w:tc>
          <w:tcPr/>
          <w:p>
            <w:pPr>
              <w:pStyle w:val="Compact"/>
              <w:jc w:val="left"/>
            </w:pPr>
            <w:r>
              <w:t xml:space="preserve">285,000 / month</w:t>
            </w:r>
          </w:p>
        </w:tc>
        <w:tc>
          <w:tcPr/>
          <w:p>
            <w:pPr>
              <w:pStyle w:val="Compact"/>
              <w:jc w:val="left"/>
            </w:pPr>
            <w:r>
              <w:t xml:space="preserve">3,420,000</w:t>
            </w:r>
          </w:p>
        </w:tc>
        <w:tc>
          <w:tcPr/>
          <w:p>
            <w:pPr>
              <w:pStyle w:val="Compact"/>
              <w:jc w:val="left"/>
            </w:pPr>
            <w:r>
              <w:t xml:space="preserve">239,400</w:t>
            </w:r>
          </w:p>
        </w:tc>
      </w:tr>
      <w:tr>
        <w:tc>
          <w:tcPr/>
          <w:p>
            <w:pPr>
              <w:pStyle w:val="Compact"/>
              <w:jc w:val="left"/>
            </w:pPr>
            <w:r>
              <w:t xml:space="preserve">2</w:t>
            </w:r>
          </w:p>
        </w:tc>
        <w:tc>
          <w:tcPr/>
          <w:p>
            <w:pPr>
              <w:pStyle w:val="Compact"/>
              <w:jc w:val="left"/>
            </w:pPr>
            <w:r>
              <w:t xml:space="preserve">Physicist</w:t>
            </w:r>
            <w:r>
              <w:t xml:space="preserve"> </w:t>
            </w:r>
            <w:r>
              <w:t xml:space="preserve">– Technical advisory and peer-review sessions with the Bangkok research team (4 sessions per month)</w:t>
            </w:r>
          </w:p>
        </w:tc>
        <w:tc>
          <w:tcPr/>
          <w:p>
            <w:pPr>
              <w:pStyle w:val="Compact"/>
              <w:jc w:val="left"/>
            </w:pPr>
            <w:r>
              <w:t xml:space="preserve">12 months</w:t>
            </w:r>
          </w:p>
        </w:tc>
        <w:tc>
          <w:tcPr/>
          <w:p>
            <w:pPr>
              <w:pStyle w:val="Compact"/>
              <w:jc w:val="left"/>
            </w:pPr>
            <w:r>
              <w:t xml:space="preserve">18,000 / session</w:t>
            </w:r>
          </w:p>
        </w:tc>
        <w:tc>
          <w:tcPr/>
          <w:p>
            <w:pPr>
              <w:pStyle w:val="Compact"/>
              <w:jc w:val="left"/>
            </w:pPr>
            <w:r>
              <w:t xml:space="preserve">864,000</w:t>
            </w:r>
          </w:p>
        </w:tc>
        <w:tc>
          <w:tcPr/>
          <w:p>
            <w:pPr>
              <w:pStyle w:val="Compact"/>
              <w:jc w:val="left"/>
            </w:pPr>
            <w:r>
              <w:t xml:space="preserve">60,480</w:t>
            </w:r>
          </w:p>
        </w:tc>
      </w:tr>
      <w:tr>
        <w:tc>
          <w:tcPr/>
          <w:p>
            <w:pPr>
              <w:pStyle w:val="Compact"/>
              <w:jc w:val="left"/>
            </w:pPr>
            <w:r>
              <w:t xml:space="preserve">3</w:t>
            </w:r>
          </w:p>
        </w:tc>
        <w:tc>
          <w:tcPr/>
          <w:p>
            <w:pPr>
              <w:pStyle w:val="Compact"/>
              <w:jc w:val="left"/>
            </w:pPr>
            <w:r>
              <w:t xml:space="preserve">Travel and accommodation for</w:t>
            </w:r>
            <w:r>
              <w:t xml:space="preserve"> </w:t>
            </w:r>
            <w:r>
              <w:t xml:space="preserve">Physicist</w:t>
            </w:r>
            <w:r>
              <w:t xml:space="preserve"> </w:t>
            </w:r>
            <w:r>
              <w:t xml:space="preserve">site visits to Chiang Mai (2 visits) and Rayong (2 visits) facilities</w:t>
            </w:r>
          </w:p>
        </w:tc>
        <w:tc>
          <w:tcPr/>
          <w:p>
            <w:pPr>
              <w:pStyle w:val="Compact"/>
              <w:jc w:val="left"/>
            </w:pPr>
            <w:r>
              <w:t xml:space="preserve">4 visits</w:t>
            </w:r>
          </w:p>
        </w:tc>
        <w:tc>
          <w:tcPr/>
          <w:p>
            <w:pPr>
              <w:pStyle w:val="Compact"/>
              <w:jc w:val="left"/>
            </w:pPr>
            <w:r>
              <w:t xml:space="preserve">45,000 / visit</w:t>
            </w:r>
          </w:p>
        </w:tc>
        <w:tc>
          <w:tcPr/>
          <w:p>
            <w:pPr>
              <w:pStyle w:val="Compact"/>
              <w:jc w:val="left"/>
            </w:pPr>
            <w:r>
              <w:t xml:space="preserve">180,000</w:t>
            </w:r>
          </w:p>
        </w:tc>
        <w:tc>
          <w:tcPr/>
          <w:p>
            <w:pPr>
              <w:pStyle w:val="Compact"/>
              <w:jc w:val="left"/>
            </w:pPr>
            <w:r>
              <w:t xml:space="preserve">12,600</w:t>
            </w:r>
          </w:p>
        </w:tc>
      </w:tr>
      <w:tr>
        <w:tc>
          <w:tcPr/>
          <w:p>
            <w:pPr>
              <w:pStyle w:val="Compact"/>
              <w:jc w:val="left"/>
            </w:pPr>
            <w:r>
              <w:t xml:space="preserve">4</w:t>
            </w:r>
          </w:p>
        </w:tc>
        <w:tc>
          <w:tcPr/>
          <w:p>
            <w:pPr>
              <w:pStyle w:val="Compact"/>
              <w:jc w:val="left"/>
            </w:pPr>
            <w:r>
              <w:t xml:space="preserve">Laboratory equipment calibration and instrumentation support by the</w:t>
            </w:r>
            <w:r>
              <w:t xml:space="preserve"> </w:t>
            </w:r>
            <w:r>
              <w:t xml:space="preserve">Physicist</w:t>
            </w:r>
            <w:r>
              <w:t xml:space="preserve"> </w:t>
            </w:r>
            <w:r>
              <w:t xml:space="preserve">(SEM, XRD, Raman spectroscopy)</w:t>
            </w:r>
          </w:p>
        </w:tc>
        <w:tc>
          <w:tcPr/>
          <w:p>
            <w:pPr>
              <w:pStyle w:val="Compact"/>
              <w:jc w:val="left"/>
            </w:pPr>
            <w:r>
              <w:t xml:space="preserve">6 months</w:t>
            </w:r>
          </w:p>
        </w:tc>
        <w:tc>
          <w:tcPr/>
          <w:p>
            <w:pPr>
              <w:pStyle w:val="Compact"/>
              <w:jc w:val="left"/>
            </w:pPr>
            <w:r>
              <w:t xml:space="preserve">32,000 / month</w:t>
            </w:r>
          </w:p>
        </w:tc>
        <w:tc>
          <w:tcPr/>
          <w:p>
            <w:pPr>
              <w:pStyle w:val="Compact"/>
              <w:jc w:val="left"/>
            </w:pPr>
            <w:r>
              <w:t xml:space="preserve">192,000</w:t>
            </w:r>
          </w:p>
        </w:tc>
        <w:tc>
          <w:tcPr/>
          <w:p>
            <w:pPr>
              <w:pStyle w:val="Compact"/>
              <w:jc w:val="left"/>
            </w:pPr>
            <w:r>
              <w:t xml:space="preserve">13,440</w:t>
            </w:r>
          </w:p>
        </w:tc>
      </w:tr>
      <w:tr>
        <w:tc>
          <w:tcPr/>
          <w:p>
            <w:pPr>
              <w:pStyle w:val="Compact"/>
              <w:jc w:val="left"/>
            </w:pPr>
            <w:r>
              <w:t xml:space="preserve">5</w:t>
            </w:r>
          </w:p>
        </w:tc>
        <w:tc>
          <w:tcPr/>
          <w:p>
            <w:pPr>
              <w:pStyle w:val="Compact"/>
              <w:jc w:val="left"/>
            </w:pPr>
            <w:r>
              <w:t xml:space="preserve">Publication support – drafting, editing, and submission of 3 peer-reviewed journal articles authored or co-authored by the</w:t>
            </w:r>
            <w:r>
              <w:t xml:space="preserve"> </w:t>
            </w:r>
            <w:r>
              <w:t xml:space="preserve">Physicist</w:t>
            </w:r>
          </w:p>
        </w:tc>
        <w:tc>
          <w:tcPr/>
          <w:p>
            <w:pPr>
              <w:pStyle w:val="Compact"/>
              <w:jc w:val="left"/>
            </w:pPr>
            <w:r>
              <w:t xml:space="preserve">12 months</w:t>
            </w:r>
          </w:p>
        </w:tc>
        <w:tc>
          <w:tcPr/>
          <w:p>
            <w:pPr>
              <w:pStyle w:val="Compact"/>
              <w:jc w:val="left"/>
            </w:pPr>
            <w:r>
              <w:t xml:space="preserve">55,000 / article</w:t>
            </w:r>
          </w:p>
        </w:tc>
        <w:tc>
          <w:tcPr/>
          <w:p>
            <w:pPr>
              <w:pStyle w:val="Compact"/>
              <w:jc w:val="left"/>
            </w:pPr>
            <w:r>
              <w:t xml:space="preserve">165,000</w:t>
            </w:r>
          </w:p>
        </w:tc>
        <w:tc>
          <w:tcPr/>
          <w:p>
            <w:pPr>
              <w:pStyle w:val="Compact"/>
              <w:jc w:val="left"/>
            </w:pPr>
            <w:r>
              <w:t xml:space="preserve">11,550</w:t>
            </w:r>
          </w:p>
        </w:tc>
      </w:tr>
      <w:tr>
        <w:tc>
          <w:tcPr/>
          <w:p>
            <w:pPr>
              <w:pStyle w:val="Compact"/>
              <w:jc w:val="left"/>
            </w:pPr>
            <w:r>
              <w:t xml:space="preserve">6</w:t>
            </w:r>
          </w:p>
        </w:tc>
        <w:tc>
          <w:tcPr/>
          <w:p>
            <w:pPr>
              <w:pStyle w:val="Compact"/>
              <w:jc w:val="left"/>
            </w:pPr>
            <w:r>
              <w:t xml:space="preserve">Knowledge transfer workshops – 2 workshops per quarter for junior researchers in Bangkok (8 workshops total)</w:t>
            </w:r>
          </w:p>
        </w:tc>
        <w:tc>
          <w:tcPr/>
          <w:p>
            <w:pPr>
              <w:pStyle w:val="Compact"/>
              <w:jc w:val="left"/>
            </w:pPr>
            <w:r>
              <w:t xml:space="preserve">12 months</w:t>
            </w:r>
          </w:p>
        </w:tc>
        <w:tc>
          <w:tcPr/>
          <w:p>
            <w:pPr>
              <w:pStyle w:val="Compact"/>
              <w:jc w:val="left"/>
            </w:pPr>
            <w:r>
              <w:t xml:space="preserve">35,000 / workshop</w:t>
            </w:r>
          </w:p>
        </w:tc>
        <w:tc>
          <w:tcPr/>
          <w:p>
            <w:pPr>
              <w:pStyle w:val="Compact"/>
              <w:jc w:val="left"/>
            </w:pPr>
            <w:r>
              <w:t xml:space="preserve">280,000</w:t>
            </w:r>
          </w:p>
        </w:tc>
        <w:tc>
          <w:tcPr/>
          <w:p>
            <w:pPr>
              <w:pStyle w:val="Compact"/>
              <w:jc w:val="left"/>
            </w:pPr>
            <w:r>
              <w:t xml:space="preserve">19,600</w:t>
            </w:r>
          </w:p>
        </w:tc>
      </w:tr>
      <w:tr>
        <w:tc>
          <w:tcPr/>
          <w:p>
            <w:pPr>
              <w:pStyle w:val="Compact"/>
              <w:jc w:val="left"/>
            </w:pPr>
            <w:r>
              <w:t xml:space="preserve">7</w:t>
            </w:r>
          </w:p>
        </w:tc>
        <w:tc>
          <w:tcPr/>
          <w:p>
            <w:pPr>
              <w:pStyle w:val="Compact"/>
              <w:jc w:val="left"/>
            </w:pPr>
            <w:r>
              <w:t xml:space="preserve">Project management, reporting, and administrative overhead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510,100</w:t>
            </w:r>
          </w:p>
        </w:tc>
        <w:tc>
          <w:tcPr/>
          <w:p>
            <w:pPr>
              <w:pStyle w:val="Compact"/>
              <w:jc w:val="left"/>
            </w:pPr>
            <w:r>
              <w:t xml:space="preserve">35,707</w:t>
            </w:r>
          </w:p>
        </w:tc>
      </w:tr>
      <w:tr>
        <w:tc>
          <w:tcPr>
            <w:gridSpan w:val="4"/>
          </w:tcPr>
          <w:p>
            <w:pPr>
              <w:pStyle w:val="Compact"/>
              <w:jc w:val="left"/>
            </w:pPr>
            <w:r>
              <w:t xml:space="preserve">Subtotal (THB)</w:t>
            </w:r>
          </w:p>
        </w:tc>
        <w:tc>
          <w:tcPr/>
          <w:p>
            <w:pPr>
              <w:pStyle w:val="Compact"/>
              <w:jc w:val="left"/>
            </w:pPr>
            <w:r>
              <w:t xml:space="preserve">5,611,100</w:t>
            </w:r>
          </w:p>
        </w:tc>
        <w:tc>
          <w:tcPr/>
          <w:p>
            <w:pPr>
              <w:pStyle w:val="Compact"/>
              <w:jc w:val="left"/>
            </w:pPr>
            <w:r>
              <w:t xml:space="preserve">392,777</w:t>
            </w:r>
          </w:p>
        </w:tc>
      </w:tr>
      <w:tr>
        <w:tc>
          <w:tcPr>
            <w:gridSpan w:val="4"/>
          </w:tcPr>
          <w:p>
            <w:pPr>
              <w:pStyle w:val="Compact"/>
              <w:jc w:val="left"/>
            </w:pPr>
            <w:r>
              <w:t xml:space="preserve">Grand Total (THB, VAT inclusive)</w:t>
            </w:r>
          </w:p>
        </w:tc>
        <w:tc>
          <w:tcPr>
            <w:gridSpan w:val="2"/>
          </w:tcPr>
          <w:p>
            <w:pPr>
              <w:pStyle w:val="Compact"/>
              <w:jc w:val="left"/>
            </w:pPr>
            <w:r>
              <w:t xml:space="preserve">6,003,877</w:t>
            </w: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made in quarterly instalments, due within thirty (30) days of the invoice date. The first instalment of 25% (THB 1,500,969.25) is payable upon execution of the service agreement. Subsequent quarterly payments of 25% each shall be due on the 1st of January, April, July, and October 2025. All payments shall be made via bank transfer to the account of Quantum Sciences &amp; Advisory Group Co., Ltd., Siam Commercial Bank, Bangkok Business Park Branch, Account No. 012-3-45678-9. Late payments shall attract a penalty of 1.5% per month on the outstanding balance.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Physicist</w:t>
      </w:r>
      <w:r>
        <w:t xml:space="preserve"> </w:t>
      </w:r>
      <w:r>
        <w:t xml:space="preserve">are subject to reconfirmation.</w:t>
      </w:r>
    </w:p>
    <w:p>
      <w:pPr>
        <w:numPr>
          <w:ilvl w:val="0"/>
          <w:numId w:val="1001"/>
        </w:numPr>
        <w:pStyle w:val="Compact"/>
      </w:pPr>
      <w:r>
        <w:t xml:space="preserve">The</w:t>
      </w:r>
      <w:r>
        <w:t xml:space="preserve"> </w:t>
      </w:r>
      <w:r>
        <w:t xml:space="preserve">Physicist</w:t>
      </w:r>
      <w:r>
        <w:t xml:space="preserve"> </w:t>
      </w:r>
      <w:r>
        <w:t xml:space="preserve">identified for this engagement shall not be substituted without the prior written consent of the client. In the event of unavoidable absence, a replacement</w:t>
      </w:r>
      <w:r>
        <w:t xml:space="preserve"> </w:t>
      </w:r>
      <w:r>
        <w:t xml:space="preserve">Physicist</w:t>
      </w:r>
      <w:r>
        <w:t xml:space="preserve"> </w:t>
      </w:r>
      <w:r>
        <w:t xml:space="preserve">of equivalent or superior qualifications will be proposed at no additional cost.</w:t>
      </w:r>
    </w:p>
    <w:p>
      <w:pPr>
        <w:numPr>
          <w:ilvl w:val="0"/>
          <w:numId w:val="1001"/>
        </w:numPr>
        <w:pStyle w:val="Compact"/>
      </w:pPr>
      <w:r>
        <w:t xml:space="preserve">All intellectual property, research data, and publications generated during the engagement in Thailand Bangkok shall be jointly owned by the client and Quantum Sciences &amp; Advisory Group Co., Ltd., as stipulated in the separate Intellectual Property Agreement.</w:t>
      </w:r>
    </w:p>
    <w:p>
      <w:pPr>
        <w:numPr>
          <w:ilvl w:val="0"/>
          <w:numId w:val="1001"/>
        </w:numPr>
        <w:pStyle w:val="Compact"/>
      </w:pPr>
      <w:r>
        <w:t xml:space="preserve">The</w:t>
      </w:r>
      <w:r>
        <w:t xml:space="preserve"> </w:t>
      </w:r>
      <w:r>
        <w:t xml:space="preserve">Physicist</w:t>
      </w:r>
      <w:r>
        <w:t xml:space="preserve"> </w:t>
      </w:r>
      <w:r>
        <w:t xml:space="preserve">shall comply with all applicable Thai labour laws, immigration regulations (if applicable), and the data protection provisions of the Personal Data Protection Act B.E. 2562 (2019) of Thailand.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any work commences.</w:t>
      </w:r>
    </w:p>
    <w:p>
      <w:pPr>
        <w:numPr>
          <w:ilvl w:val="0"/>
          <w:numId w:val="1001"/>
        </w:numPr>
        <w:pStyle w:val="Compact"/>
      </w:pPr>
      <w:r>
        <w:t xml:space="preserve">Force majeure events, including but not limited to natural disasters, government-mandated closures, or public health emergencies affecting Bangkok, Thailand, shall suspend obligations under this quotation without penalty to either party.</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agreement shall be resolved through mediation under the rules of the Thai Arbitration Institute, with the seat of arbitration in Bangkok, Thailand.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Physicist</w:t>
      </w:r>
      <w:r>
        <w:t xml:space="preserve"> </w:t>
      </w:r>
      <w:r>
        <w:t xml:space="preserve">in Thailand Bangkok. This acceptance does not obligate either party until a formal Service Agreement is countersigned.</w:t>
      </w:r>
    </w:p>
    <w:p>
      <w:pPr>
        <w:pStyle w:val="BodyText"/>
      </w:pPr>
      <w:r>
        <w:rPr>
          <w:bCs/>
          <w:b/>
        </w:rPr>
        <w:t xml:space="preserve">For and on behalf of Quantum Sciences &amp; Advisory Group Co., Ltd.</w:t>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Chulalongkorn Industrial Research Institute</w:t>
      </w:r>
      <w:r>
        <w:br/>
      </w:r>
      <w:r>
        <w:t xml:space="preserve">Name: ______________________________</w:t>
      </w:r>
      <w:r>
        <w:br/>
      </w:r>
      <w:r>
        <w:t xml:space="preserve">Title: Chief Technology Officer</w:t>
      </w:r>
      <w:r>
        <w:br/>
      </w:r>
      <w:r>
        <w:t xml:space="preserve">Signature: ______________________________</w:t>
      </w:r>
      <w:r>
        <w:br/>
      </w:r>
      <w:r>
        <w:t xml:space="preserve">Date: ______________________________</w:t>
      </w:r>
    </w:p>
    <w:p>
      <w:pPr>
        <w:pStyle w:val="BodyText"/>
      </w:pPr>
      <w:r>
        <w:t xml:space="preserve">Quotation Estimate No. QSE-2025-BKK-0472 | Quantum Sciences &amp; Advisory Group Co., Ltd. | Bangkok, Thailand</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Thailand Bangkok</dc:title>
  <dc:creator/>
  <dc:language>en</dc:language>
  <cp:keywords/>
  <dcterms:created xsi:type="dcterms:W3CDTF">2026-10-10T03:42:48Z</dcterms:created>
  <dcterms:modified xsi:type="dcterms:W3CDTF">2026-10-10T03:42:48Z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