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quotation-estimate"/>
    <w:p>
      <w:pPr>
        <w:pStyle w:val="Heading1"/>
      </w:pPr>
      <w:r>
        <w:t xml:space="preserve">QUOTATION ESTIMATE</w:t>
      </w:r>
    </w:p>
    <w:bookmarkStart w:id="20" w:name="X53de7e0b634f41583c3c43ebcb45e225cd58008"/>
    <w:p>
      <w:pPr>
        <w:pStyle w:val="Heading2"/>
      </w:pPr>
      <w:r>
        <w:t xml:space="preserve">Professional Physicist Services — United Arab Emirates, Abu Dhabi</w:t>
      </w:r>
    </w:p>
    <w:p>
      <w:pPr>
        <w:pStyle w:val="FirstParagraph"/>
      </w:pPr>
      <w:r>
        <w:t xml:space="preserve">Issued by: Advanced Scientific Consulting LLC, Abu Dhabi, United Arab Emirates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QTE-AD-2025-04782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Client</w:t>
            </w:r>
          </w:p>
        </w:tc>
        <w:tc>
          <w:tcPr/>
          <w:p>
            <w:pPr>
              <w:pStyle w:val="Compact"/>
              <w:jc w:val="left"/>
            </w:pPr>
            <w:r>
              <w:t xml:space="preserve">Abu Dhabi Advanced Research Institute (ADARI)</w:t>
            </w:r>
          </w:p>
        </w:tc>
      </w:tr>
      <w:tr>
        <w:tc>
          <w:tcPr/>
          <w:p>
            <w:pPr>
              <w:pStyle w:val="Compact"/>
              <w:jc w:val="left"/>
            </w:pPr>
            <w:r>
              <w:t xml:space="preserve">Client Address</w:t>
            </w:r>
          </w:p>
        </w:tc>
        <w:tc>
          <w:tcPr/>
          <w:p>
            <w:pPr>
              <w:pStyle w:val="Compact"/>
              <w:jc w:val="left"/>
            </w:pPr>
            <w:r>
              <w:t xml:space="preserve">Al Maryah Island, P.O. Box 12345, Abu Dhabi, United Arab Emirates</w:t>
            </w:r>
          </w:p>
        </w:tc>
      </w:tr>
      <w:tr>
        <w:tc>
          <w:tcPr/>
          <w:p>
            <w:pPr>
              <w:pStyle w:val="Compact"/>
              <w:jc w:val="left"/>
            </w:pPr>
            <w:r>
              <w:t xml:space="preserve">Project Reference</w:t>
            </w:r>
          </w:p>
        </w:tc>
        <w:tc>
          <w:tcPr/>
          <w:p>
            <w:pPr>
              <w:pStyle w:val="Compact"/>
              <w:jc w:val="left"/>
            </w:pPr>
            <w:r>
              <w:t xml:space="preserve">ADARI-2025-QUANTUM-003</w:t>
            </w:r>
          </w:p>
        </w:tc>
      </w:tr>
      <w:tr>
        <w:tc>
          <w:tcPr/>
          <w:p>
            <w:pPr>
              <w:pStyle w:val="Compact"/>
              <w:jc w:val="left"/>
            </w:pPr>
            <w:r>
              <w:t xml:space="preserve">Prepared By</w:t>
            </w:r>
          </w:p>
        </w:tc>
        <w:tc>
          <w:tcPr/>
          <w:p>
            <w:pPr>
              <w:pStyle w:val="Compact"/>
              <w:jc w:val="left"/>
            </w:pPr>
            <w:r>
              <w:t xml:space="preserve">Dr. Khalid Al Mansoori, Lead Consultant — Advanced Scientific Consulting LLC</w:t>
            </w:r>
          </w:p>
        </w:tc>
      </w:tr>
      <w:tr>
        <w:tc>
          <w:tcPr/>
          <w:p>
            <w:pPr>
              <w:pStyle w:val="Compact"/>
              <w:jc w:val="left"/>
            </w:pPr>
            <w:r>
              <w:t xml:space="preserve">Location of Services</w:t>
            </w:r>
          </w:p>
        </w:tc>
        <w:tc>
          <w:tcPr/>
          <w:p>
            <w:pPr>
              <w:pStyle w:val="Compact"/>
              <w:jc w:val="left"/>
            </w:pPr>
            <w:r>
              <w:t xml:space="preserve">Abu Dhabi, United Arab Emirates</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Advanced Scientific Consulting LLC to provide a comprehensive and itemised cost breakdown for the engagement of a senior</w:t>
      </w:r>
      <w:r>
        <w:t xml:space="preserve"> </w:t>
      </w:r>
      <w:r>
        <w:t xml:space="preserve">Physicist</w:t>
      </w:r>
      <w:r>
        <w:t xml:space="preserve"> </w:t>
      </w:r>
      <w:r>
        <w:t xml:space="preserve">to deliver specialised scientific consulting, research oversight, and technical advisory services to the Abu Dhabi Advanced Research Institute. All services described herein shall be performed in accordance with the regulatory frameworks of the</w:t>
      </w:r>
      <w:r>
        <w:t xml:space="preserve"> </w:t>
      </w:r>
      <w:r>
        <w:t xml:space="preserve">United Arab Emirates</w:t>
      </w:r>
      <w:r>
        <w:t xml:space="preserve"> </w:t>
      </w:r>
      <w:r>
        <w:t xml:space="preserve">and specifically within the jurisdiction of</w:t>
      </w:r>
      <w:r>
        <w:t xml:space="preserve"> </w:t>
      </w:r>
      <w:r>
        <w:t xml:space="preserve">Abu Dhabi</w:t>
      </w:r>
      <w:r>
        <w:t xml:space="preserve">, in compliance with the Abu Dhabi Department of Economic Development (DED) licensing requirements and the UAE Federal Law on Scientific Research and Innovation.</w:t>
      </w:r>
    </w:p>
    <w:bookmarkEnd w:id="22"/>
    <w:bookmarkStart w:id="23" w:name="scope-of-work-physicist-engagement"/>
    <w:p>
      <w:pPr>
        <w:pStyle w:val="Heading3"/>
      </w:pPr>
      <w:r>
        <w:t xml:space="preserve">2. Scope of Work — Physicist Engagement</w:t>
      </w:r>
    </w:p>
    <w:p>
      <w:pPr>
        <w:pStyle w:val="FirstParagraph"/>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shall possess a minimum of a Doctorate (Ph.D.) in Theoretical or Applied Physics, with no fewer than fifteen (15) years of post-doctoral experience in quantum mechanics, particle physics, or condensed matter physics. The</w:t>
      </w:r>
      <w:r>
        <w:t xml:space="preserve"> </w:t>
      </w:r>
      <w:r>
        <w:t xml:space="preserve">Physicist</w:t>
      </w:r>
      <w:r>
        <w:t xml:space="preserve"> </w:t>
      </w:r>
      <w:r>
        <w:t xml:space="preserve">shall be based in</w:t>
      </w:r>
      <w:r>
        <w:t xml:space="preserve"> </w:t>
      </w:r>
      <w:r>
        <w:t xml:space="preserve">Abu Dhabi</w:t>
      </w:r>
      <w:r>
        <w:t xml:space="preserve"> </w:t>
      </w:r>
      <w:r>
        <w:t xml:space="preserve">for the duration of the engagement and shall report directly to the Chief Scientific Officer of ADARI. The scope encompasses the following deliverables:</w:t>
      </w:r>
    </w:p>
    <w:p>
      <w:pPr>
        <w:numPr>
          <w:ilvl w:val="0"/>
          <w:numId w:val="1001"/>
        </w:numPr>
        <w:pStyle w:val="Compact"/>
      </w:pPr>
      <w:r>
        <w:t xml:space="preserve">Design and supervision of experimental protocols for the Quantum Computing Research Facility located in the Abu Dhabi Technology Park.</w:t>
      </w:r>
    </w:p>
    <w:p>
      <w:pPr>
        <w:numPr>
          <w:ilvl w:val="0"/>
          <w:numId w:val="1001"/>
        </w:numPr>
        <w:pStyle w:val="Compact"/>
      </w:pPr>
      <w:r>
        <w:t xml:space="preserve">Peer review and validation of all theoretical models, mathematical derivations, and simulation outputs produced by the in-house research team.</w:t>
      </w:r>
    </w:p>
    <w:p>
      <w:pPr>
        <w:numPr>
          <w:ilvl w:val="0"/>
          <w:numId w:val="1001"/>
        </w:numPr>
        <w:pStyle w:val="Compact"/>
      </w:pPr>
      <w:r>
        <w:t xml:space="preserve">Preparation of at least four (4) peer-reviewed publications in internationally recognised physics journals per quarter.</w:t>
      </w:r>
    </w:p>
    <w:p>
      <w:pPr>
        <w:numPr>
          <w:ilvl w:val="0"/>
          <w:numId w:val="1001"/>
        </w:numPr>
        <w:pStyle w:val="Compact"/>
      </w:pPr>
      <w:r>
        <w:t xml:space="preserve">Delivery of monthly technical briefings to the ADARI Board of Directors and the Abu Dhabi Department of Energy (DoE) liaison committee.</w:t>
      </w:r>
    </w:p>
    <w:p>
      <w:pPr>
        <w:numPr>
          <w:ilvl w:val="0"/>
          <w:numId w:val="1001"/>
        </w:numPr>
        <w:pStyle w:val="Compact"/>
      </w:pPr>
      <w:r>
        <w:t xml:space="preserve">Mentorship and professional development of a minimum of six (6) junior researchers and post-doctoral fellows stationed in Abu Dhabi.</w:t>
      </w:r>
    </w:p>
    <w:p>
      <w:pPr>
        <w:numPr>
          <w:ilvl w:val="0"/>
          <w:numId w:val="1001"/>
        </w:numPr>
        <w:pStyle w:val="Compact"/>
      </w:pPr>
      <w:r>
        <w:t xml:space="preserve">Representation of ADARI at the annual UAE National Science Forum and the International Conference on High-Energy Physics held in the United Arab Emirates.</w:t>
      </w:r>
    </w:p>
    <w:bookmarkEnd w:id="23"/>
    <w:bookmarkStart w:id="24"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(AED)</w:t>
            </w:r>
          </w:p>
        </w:tc>
        <w:tc>
          <w:tcPr/>
          <w:p>
            <w:pPr>
              <w:pStyle w:val="Compact"/>
              <w:jc w:val="left"/>
            </w:pPr>
            <w:r>
              <w:t xml:space="preserve">Amount (AED)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Senior Physicist — Monthly Professional Fee (Theoretical &amp; Applied Physics Consulting)</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c>
          <w:tcPr/>
          <w:p>
            <w:pPr>
              <w:pStyle w:val="Compact"/>
              <w:jc w:val="left"/>
            </w:pPr>
            <w:r>
              <w:t xml:space="preserve">Inclusive of UAE 5% corporate tax</w:t>
            </w:r>
          </w:p>
        </w:tc>
      </w:tr>
      <w:tr>
        <w:tc>
          <w:tcPr/>
          <w:p>
            <w:pPr>
              <w:pStyle w:val="Compact"/>
              <w:jc w:val="left"/>
            </w:pPr>
            <w:r>
              <w:t xml:space="preserve">2</w:t>
            </w:r>
          </w:p>
        </w:tc>
        <w:tc>
          <w:tcPr/>
          <w:p>
            <w:pPr>
              <w:pStyle w:val="Compact"/>
              <w:jc w:val="left"/>
            </w:pPr>
            <w:r>
              <w:t xml:space="preserve">Experimental Design &amp; Protocol Development (Quantum Computing Lab, Abu Dhabi)</w:t>
            </w:r>
          </w:p>
        </w:tc>
        <w:tc>
          <w:tcPr/>
          <w:p>
            <w:pPr>
              <w:pStyle w:val="Compact"/>
              <w:jc w:val="left"/>
            </w:pPr>
            <w:r>
              <w:t xml:space="preserve">3 phases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Per phase deliverable</w:t>
            </w:r>
          </w:p>
        </w:tc>
      </w:tr>
      <w:tr>
        <w:tc>
          <w:tcPr/>
          <w:p>
            <w:pPr>
              <w:pStyle w:val="Compact"/>
              <w:jc w:val="left"/>
            </w:pPr>
            <w:r>
              <w:t xml:space="preserve">3</w:t>
            </w:r>
          </w:p>
        </w:tc>
        <w:tc>
          <w:tcPr/>
          <w:p>
            <w:pPr>
              <w:pStyle w:val="Compact"/>
              <w:jc w:val="left"/>
            </w:pPr>
            <w:r>
              <w:t xml:space="preserve">Peer Review &amp; Model Validation Services</w:t>
            </w:r>
          </w:p>
        </w:tc>
        <w:tc>
          <w:tcPr/>
          <w:p>
            <w:pPr>
              <w:pStyle w:val="Compact"/>
              <w:jc w:val="left"/>
            </w:pPr>
            <w:r>
              <w:t xml:space="preserve">Ongoing</w:t>
            </w:r>
          </w:p>
        </w:tc>
        <w:tc>
          <w:tcPr/>
          <w:p>
            <w:pPr>
              <w:pStyle w:val="Compact"/>
              <w:jc w:val="left"/>
            </w:pPr>
            <w:r>
              <w:t xml:space="preserve">12,000</w:t>
            </w:r>
          </w:p>
        </w:tc>
        <w:tc>
          <w:tcPr/>
          <w:p>
            <w:pPr>
              <w:pStyle w:val="Compact"/>
              <w:jc w:val="left"/>
            </w:pPr>
            <w:r>
              <w:t xml:space="preserve">144,000</w:t>
            </w:r>
          </w:p>
        </w:tc>
        <w:tc>
          <w:tcPr/>
          <w:p>
            <w:pPr>
              <w:pStyle w:val="Compact"/>
              <w:jc w:val="left"/>
            </w:pPr>
            <w:r>
              <w:t xml:space="preserve">Estimated 12 reviews/month</w:t>
            </w:r>
          </w:p>
        </w:tc>
      </w:tr>
      <w:tr>
        <w:tc>
          <w:tcPr/>
          <w:p>
            <w:pPr>
              <w:pStyle w:val="Compact"/>
              <w:jc w:val="left"/>
            </w:pPr>
            <w:r>
              <w:t xml:space="preserve">4</w:t>
            </w:r>
          </w:p>
        </w:tc>
        <w:tc>
          <w:tcPr/>
          <w:p>
            <w:pPr>
              <w:pStyle w:val="Compact"/>
              <w:jc w:val="left"/>
            </w:pPr>
            <w:r>
              <w:t xml:space="preserve">Academic Publications &amp; Research Output (4 per quarter)</w:t>
            </w:r>
          </w:p>
        </w:tc>
        <w:tc>
          <w:tcPr/>
          <w:p>
            <w:pPr>
              <w:pStyle w:val="Compact"/>
              <w:jc w:val="left"/>
            </w:pPr>
            <w:r>
              <w:t xml:space="preserve">12 months</w:t>
            </w:r>
          </w:p>
        </w:tc>
        <w:tc>
          <w:tcPr/>
          <w:p>
            <w:pPr>
              <w:pStyle w:val="Compact"/>
              <w:jc w:val="left"/>
            </w:pPr>
            <w:r>
              <w:t xml:space="preserve">8,000</w:t>
            </w:r>
          </w:p>
        </w:tc>
        <w:tc>
          <w:tcPr/>
          <w:p>
            <w:pPr>
              <w:pStyle w:val="Compact"/>
              <w:jc w:val="left"/>
            </w:pPr>
            <w:r>
              <w:t xml:space="preserve">96,000</w:t>
            </w:r>
          </w:p>
        </w:tc>
        <w:tc>
          <w:tcPr/>
          <w:p>
            <w:pPr>
              <w:pStyle w:val="Compact"/>
              <w:jc w:val="left"/>
            </w:pPr>
            <w:r>
              <w:t xml:space="preserve">Per publication cycle</w:t>
            </w:r>
          </w:p>
        </w:tc>
      </w:tr>
      <w:tr>
        <w:tc>
          <w:tcPr/>
          <w:p>
            <w:pPr>
              <w:pStyle w:val="Compact"/>
              <w:jc w:val="left"/>
            </w:pPr>
            <w:r>
              <w:t xml:space="preserve">5</w:t>
            </w:r>
          </w:p>
        </w:tc>
        <w:tc>
          <w:tcPr/>
          <w:p>
            <w:pPr>
              <w:pStyle w:val="Compact"/>
              <w:jc w:val="left"/>
            </w:pPr>
            <w:r>
              <w:t xml:space="preserve">Board Briefings &amp; DoE Liaison Presentations</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60,000</w:t>
            </w:r>
          </w:p>
        </w:tc>
        <w:tc>
          <w:tcPr/>
          <w:p>
            <w:pPr>
              <w:pStyle w:val="Compact"/>
              <w:jc w:val="left"/>
            </w:pPr>
            <w:r>
              <w:t xml:space="preserve">Monthly sessions in Abu Dhabi</w:t>
            </w:r>
          </w:p>
        </w:tc>
      </w:tr>
      <w:tr>
        <w:tc>
          <w:tcPr/>
          <w:p>
            <w:pPr>
              <w:pStyle w:val="Compact"/>
              <w:jc w:val="left"/>
            </w:pPr>
            <w:r>
              <w:t xml:space="preserve">6</w:t>
            </w:r>
          </w:p>
        </w:tc>
        <w:tc>
          <w:tcPr/>
          <w:p>
            <w:pPr>
              <w:pStyle w:val="Compact"/>
              <w:jc w:val="left"/>
            </w:pPr>
            <w:r>
              <w:t xml:space="preserve">Mentorship Programme (6 junior researchers)</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c>
          <w:tcPr/>
          <w:p>
            <w:pPr>
              <w:pStyle w:val="Compact"/>
              <w:jc w:val="left"/>
            </w:pPr>
            <w:r>
              <w:t xml:space="preserve">Structured curriculum</w:t>
            </w:r>
          </w:p>
        </w:tc>
      </w:tr>
      <w:tr>
        <w:tc>
          <w:tcPr/>
          <w:p>
            <w:pPr>
              <w:pStyle w:val="Compact"/>
              <w:jc w:val="left"/>
            </w:pPr>
            <w:r>
              <w:t xml:space="preserve">7</w:t>
            </w:r>
          </w:p>
        </w:tc>
        <w:tc>
          <w:tcPr/>
          <w:p>
            <w:pPr>
              <w:pStyle w:val="Compact"/>
              <w:jc w:val="left"/>
            </w:pPr>
            <w:r>
              <w:t xml:space="preserve">Conference Representation &amp; Travel (UAE &amp; International)</w:t>
            </w:r>
          </w:p>
        </w:tc>
        <w:tc>
          <w:tcPr/>
          <w:p>
            <w:pPr>
              <w:pStyle w:val="Compact"/>
              <w:jc w:val="left"/>
            </w:pPr>
            <w:r>
              <w:t xml:space="preserve">12 months</w:t>
            </w:r>
          </w:p>
        </w:tc>
        <w:tc>
          <w:tcPr/>
          <w:p>
            <w:pPr>
              <w:pStyle w:val="Compact"/>
              <w:jc w:val="left"/>
            </w:pPr>
            <w:r>
              <w:t xml:space="preserve">20,000</w:t>
            </w:r>
          </w:p>
        </w:tc>
        <w:tc>
          <w:tcPr/>
          <w:p>
            <w:pPr>
              <w:pStyle w:val="Compact"/>
              <w:jc w:val="left"/>
            </w:pPr>
            <w:r>
              <w:t xml:space="preserve">240,000</w:t>
            </w:r>
          </w:p>
        </w:tc>
        <w:tc>
          <w:tcPr/>
          <w:p>
            <w:pPr>
              <w:pStyle w:val="Compact"/>
              <w:jc w:val="left"/>
            </w:pPr>
            <w:r>
              <w:t xml:space="preserve">Flights, accommodation, registration</w:t>
            </w:r>
          </w:p>
        </w:tc>
      </w:tr>
      <w:tr>
        <w:tc>
          <w:tcPr/>
          <w:p>
            <w:pPr>
              <w:pStyle w:val="Compact"/>
              <w:jc w:val="left"/>
            </w:pPr>
            <w:r>
              <w:t xml:space="preserve">8</w:t>
            </w:r>
          </w:p>
        </w:tc>
        <w:tc>
          <w:tcPr/>
          <w:p>
            <w:pPr>
              <w:pStyle w:val="Compact"/>
              <w:jc w:val="left"/>
            </w:pPr>
            <w:r>
              <w:t xml:space="preserve">Office &amp; Laboratory Access (Abu Dhabi Technology Park)</w:t>
            </w:r>
          </w:p>
        </w:tc>
        <w:tc>
          <w:tcPr/>
          <w:p>
            <w:pPr>
              <w:pStyle w:val="Compact"/>
              <w:jc w:val="left"/>
            </w:pPr>
            <w:r>
              <w:t xml:space="preserve">12 months</w:t>
            </w:r>
          </w:p>
        </w:tc>
        <w:tc>
          <w:tcPr/>
          <w:p>
            <w:pPr>
              <w:pStyle w:val="Compact"/>
              <w:jc w:val="left"/>
            </w:pPr>
            <w:r>
              <w:t xml:space="preserve">10,000</w:t>
            </w:r>
          </w:p>
        </w:tc>
        <w:tc>
          <w:tcPr/>
          <w:p>
            <w:pPr>
              <w:pStyle w:val="Compact"/>
              <w:jc w:val="left"/>
            </w:pPr>
            <w:r>
              <w:t xml:space="preserve">120,000</w:t>
            </w:r>
          </w:p>
        </w:tc>
        <w:tc>
          <w:tcPr/>
          <w:p>
            <w:pPr>
              <w:pStyle w:val="Compact"/>
              <w:jc w:val="left"/>
            </w:pPr>
            <w:r>
              <w:t xml:space="preserve">Dedicated workspace</w:t>
            </w:r>
          </w:p>
        </w:tc>
      </w:tr>
      <w:tr>
        <w:tc>
          <w:tcPr/>
          <w:p>
            <w:pPr>
              <w:pStyle w:val="Compact"/>
              <w:jc w:val="left"/>
            </w:pPr>
            <w:r>
              <w:t xml:space="preserve">9</w:t>
            </w:r>
          </w:p>
        </w:tc>
        <w:tc>
          <w:tcPr/>
          <w:p>
            <w:pPr>
              <w:pStyle w:val="Compact"/>
              <w:jc w:val="left"/>
            </w:pPr>
            <w:r>
              <w:t xml:space="preserve">Visa, Work Permit &amp; Medical Insurance (UAE Regulations)</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180,000</w:t>
            </w:r>
          </w:p>
        </w:tc>
        <w:tc>
          <w:tcPr/>
          <w:p>
            <w:pPr>
              <w:pStyle w:val="Compact"/>
              <w:jc w:val="left"/>
            </w:pPr>
            <w:r>
              <w:t xml:space="preserve">Per UAE immigration law</w:t>
            </w:r>
          </w:p>
        </w:tc>
      </w:tr>
      <w:tr>
        <w:tc>
          <w:tcPr/>
          <w:p>
            <w:pPr>
              <w:pStyle w:val="Compact"/>
              <w:jc w:val="left"/>
            </w:pPr>
            <w:r>
              <w:t xml:space="preserve">10</w:t>
            </w:r>
          </w:p>
        </w:tc>
        <w:tc>
          <w:tcPr/>
          <w:p>
            <w:pPr>
              <w:pStyle w:val="Compact"/>
              <w:jc w:val="left"/>
            </w:pPr>
            <w:r>
              <w:t xml:space="preserve">Contingency &amp; Miscellaneous (5%)</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117,500</w:t>
            </w:r>
          </w:p>
        </w:tc>
        <w:tc>
          <w:tcPr/>
          <w:p>
            <w:pPr>
              <w:pStyle w:val="Compact"/>
              <w:jc w:val="left"/>
            </w:pPr>
            <w:r>
              <w:t xml:space="preserve">Unforeseen expenses</w:t>
            </w:r>
          </w:p>
        </w:tc>
      </w:tr>
      <w:tr>
        <w:tc>
          <w:tcPr>
            <w:gridSpan w:val="4"/>
          </w:tcPr>
          <w:p>
            <w:pPr>
              <w:pStyle w:val="Compact"/>
              <w:jc w:val="left"/>
            </w:pPr>
            <w:r>
              <w:t xml:space="preserve">TOTAL QUOTATION ESTIMATE (AED)</w:t>
            </w:r>
          </w:p>
        </w:tc>
        <w:tc>
          <w:tcPr/>
          <w:p>
            <w:pPr>
              <w:pStyle w:val="Compact"/>
              <w:jc w:val="left"/>
            </w:pPr>
            <w:r>
              <w:t xml:space="preserve">2,292,500</w:t>
            </w:r>
          </w:p>
        </w:tc>
        <w:tc>
          <w:tcPr/>
          <w:p>
            <w:pPr>
              <w:pStyle w:val="Compact"/>
            </w:pPr>
          </w:p>
        </w:tc>
      </w:tr>
      <w:tr>
        <w:tc>
          <w:tcPr>
            <w:gridSpan w:val="4"/>
          </w:tcPr>
          <w:p>
            <w:pPr>
              <w:pStyle w:val="Compact"/>
              <w:jc w:val="left"/>
            </w:pPr>
            <w:r>
              <w:t xml:space="preserve">TOTAL QUOTATION ESTIMATE (USD, approx. @ 3.6725)</w:t>
            </w:r>
          </w:p>
        </w:tc>
        <w:tc>
          <w:tcPr/>
          <w:p>
            <w:pPr>
              <w:pStyle w:val="Compact"/>
              <w:jc w:val="left"/>
            </w:pPr>
            <w:r>
              <w:t xml:space="preserve">624,220.00</w:t>
            </w:r>
          </w:p>
        </w:tc>
        <w:tc>
          <w:tcPr/>
          <w:p>
            <w:pPr>
              <w:pStyle w:val="Compact"/>
            </w:pPr>
          </w:p>
        </w:tc>
      </w:tr>
    </w:tbl>
    <w:bookmarkEnd w:id="24"/>
    <w:bookmarkStart w:id="25" w:name="payment-terms"/>
    <w:p>
      <w:pPr>
        <w:pStyle w:val="Heading3"/>
      </w:pPr>
      <w:r>
        <w:t xml:space="preserve">4. Payment Terms</w:t>
      </w:r>
    </w:p>
    <w:p>
      <w:pPr>
        <w:pStyle w:val="FirstParagraph"/>
      </w:pPr>
      <w:r>
        <w:t xml:space="preserve">All amounts stated in this</w:t>
      </w:r>
      <w:r>
        <w:t xml:space="preserve"> </w:t>
      </w:r>
      <w:r>
        <w:t xml:space="preserve">Quotation Estimate</w:t>
      </w:r>
      <w:r>
        <w:t xml:space="preserve"> </w:t>
      </w:r>
      <w:r>
        <w:t xml:space="preserve">are denominated in United Arab Emirates Dirhams (AED) unless otherwise specified. Payment shall be structured as follows: an initial mobilisation payment of twenty-five percent (25%) upon execution of the service agreement; subsequent quarterly payments of twenty-five percent (25%) each, due within thirty (30) days of the end of each calendar quarter; and a final settlement of any remaining balance within sixty (60) days of project completion. All payments shall be made via bank transfer to the designated account of Advanced Scientific Consulting LLC, Abu Dhabi, United Arab Emirates. Late payments shall attract a penalty of two percent (2%) per month in accordance with UAE commercial law.</w:t>
      </w:r>
    </w:p>
    <w:bookmarkEnd w:id="25"/>
    <w:bookmarkStart w:id="26" w:name="terms-and-conditions"/>
    <w:p>
      <w:pPr>
        <w:pStyle w:val="Heading3"/>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 the</w:t>
      </w:r>
      <w:r>
        <w:t xml:space="preserve"> </w:t>
      </w:r>
      <w:r>
        <w:t xml:space="preserve">United Arab Emirates</w:t>
      </w:r>
      <w:r>
        <w:t xml:space="preserve">.</w:t>
      </w:r>
    </w:p>
    <w:p>
      <w:pPr>
        <w:numPr>
          <w:ilvl w:val="0"/>
          <w:numId w:val="1002"/>
        </w:numPr>
        <w:pStyle w:val="Compact"/>
      </w:pPr>
      <w:r>
        <w:t xml:space="preserve">The</w:t>
      </w:r>
      <w:r>
        <w:t xml:space="preserve"> </w:t>
      </w:r>
      <w:r>
        <w:t xml:space="preserve">Physicist</w:t>
      </w:r>
      <w:r>
        <w:t xml:space="preserve"> </w:t>
      </w:r>
      <w:r>
        <w:t xml:space="preserve">engaged under this agreement shall comply with all UAE federal and Abu Dhabi emirate-level regulations, including but not limited to the UAE Labour Law (Federal Decree-Law No. 33 of 2021) and the Abu Dhabi Free Zone Authority guidelines where applicable.</w:t>
      </w:r>
    </w:p>
    <w:p>
      <w:pPr>
        <w:numPr>
          <w:ilvl w:val="0"/>
          <w:numId w:val="1002"/>
        </w:numPr>
        <w:pStyle w:val="Compact"/>
      </w:pPr>
      <w:r>
        <w:t xml:space="preserve">All intellectual property generated by the</w:t>
      </w:r>
      <w:r>
        <w:t xml:space="preserve"> </w:t>
      </w:r>
      <w:r>
        <w:t xml:space="preserve">Physicist</w:t>
      </w:r>
      <w:r>
        <w:t xml:space="preserve"> </w:t>
      </w:r>
      <w:r>
        <w:t xml:space="preserve">during the course of this engagement shall be the sole property of ADARI, Abu Dhabi, as stipulated in the separate Intellectual Property Assignment Agreement.</w:t>
      </w:r>
    </w:p>
    <w:p>
      <w:pPr>
        <w:numPr>
          <w:ilvl w:val="0"/>
          <w:numId w:val="1002"/>
        </w:numPr>
        <w:pStyle w:val="Compact"/>
      </w:pPr>
      <w:r>
        <w:t xml:space="preserve">Confidentiality obligations shall survive the termination of this engagement for a period of five (5) years, in compliance with the UAE Federal Decree-Law No. 46 of 2021 on the Protection of Personal Data and the Abu Dhabi Data Protection Regulations.</w:t>
      </w:r>
    </w:p>
    <w:p>
      <w:pPr>
        <w:numPr>
          <w:ilvl w:val="0"/>
          <w:numId w:val="1002"/>
        </w:numPr>
        <w:pStyle w:val="Compact"/>
      </w:pPr>
      <w:r>
        <w:t xml:space="preserve">Either party may terminate this engagement with a written notice of ninety (90) days. In the event of early termination, the</w:t>
      </w:r>
      <w:r>
        <w:t xml:space="preserve"> </w:t>
      </w:r>
      <w:r>
        <w:t xml:space="preserve">Physicist</w:t>
      </w:r>
      <w:r>
        <w:t xml:space="preserve"> </w:t>
      </w:r>
      <w:r>
        <w:t xml:space="preserve">shall be compensated for all services rendered up to the termination date, plus a severance equivalent to two (2) months of the professional fee.</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authorised representatives of Advanced Scientific Consulting LLC and ADARI, Abu Dhabi.</w:t>
      </w:r>
    </w:p>
    <w:p>
      <w:pPr>
        <w:numPr>
          <w:ilvl w:val="0"/>
          <w:numId w:val="1002"/>
        </w:numPr>
        <w:pStyle w:val="Compact"/>
      </w:pPr>
      <w:r>
        <w:t xml:space="preserve">All disputes arising from this engagement shall be resolved through arbitration in Abu Dhabi, United Arab Emirates, in accordance with the rules of the Abu Dhabi Global Market (ADGM) Arbitration Centre.</w:t>
      </w:r>
    </w:p>
    <w:bookmarkEnd w:id="26"/>
    <w:bookmarkStart w:id="27" w:name="acceptance"/>
    <w:p>
      <w:pPr>
        <w:pStyle w:val="Heading3"/>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Physicist</w:t>
      </w:r>
      <w:r>
        <w:t xml:space="preserve"> </w:t>
      </w:r>
      <w:r>
        <w:t xml:space="preserve">in</w:t>
      </w:r>
      <w:r>
        <w:t xml:space="preserve"> </w:t>
      </w:r>
      <w:r>
        <w:t xml:space="preserve">Abu Dhabi, United Arab Emirates</w:t>
      </w:r>
      <w:r>
        <w:t xml:space="preserve">.</w:t>
      </w:r>
    </w:p>
    <w:p>
      <w:pPr>
        <w:pStyle w:val="BodyText"/>
      </w:pPr>
      <w:r>
        <w:rPr>
          <w:bCs/>
          <w:b/>
        </w:rPr>
        <w:t xml:space="preserve">For: Advanced Scientific Consulting LLC</w:t>
      </w:r>
    </w:p>
    <w:p>
      <w:pPr>
        <w:pStyle w:val="BodyText"/>
      </w:pPr>
      <w:r>
        <w:t xml:space="preserve">Dr. Khalid Al Mansoori</w:t>
      </w:r>
    </w:p>
    <w:p>
      <w:pPr>
        <w:pStyle w:val="BodyText"/>
      </w:pPr>
      <w:r>
        <w:t xml:space="preserve">Lead Consultant &amp; Managing Director</w:t>
      </w:r>
    </w:p>
    <w:p>
      <w:pPr>
        <w:pStyle w:val="BodyText"/>
      </w:pPr>
      <w:r>
        <w:t xml:space="preserve">Signature &amp; Date</w:t>
      </w:r>
    </w:p>
    <w:p>
      <w:pPr>
        <w:pStyle w:val="BodyText"/>
      </w:pPr>
      <w:r>
        <w:rPr>
          <w:bCs/>
          <w:b/>
        </w:rPr>
        <w:t xml:space="preserve">For: Abu Dhabi Advanced Research Institute (ADARI)</w:t>
      </w:r>
    </w:p>
    <w:p>
      <w:pPr>
        <w:pStyle w:val="BodyText"/>
      </w:pPr>
      <w:r>
        <w:t xml:space="preserve">Prof. Sarah Al Rashidi</w:t>
      </w:r>
    </w:p>
    <w:p>
      <w:pPr>
        <w:pStyle w:val="BodyText"/>
      </w:pPr>
      <w:r>
        <w:t xml:space="preserve">Chief Scientific Officer</w:t>
      </w:r>
    </w:p>
    <w:p>
      <w:pPr>
        <w:pStyle w:val="BodyText"/>
      </w:pPr>
      <w:r>
        <w:t xml:space="preserve">Signature &amp; Date</w:t>
      </w:r>
    </w:p>
    <w:p>
      <w:pPr>
        <w:pStyle w:val="BodyText"/>
      </w:pPr>
      <w:r>
        <w:t xml:space="preserve">Advanced Scientific Consulting LLC — Al Maryah Island, Abu Dhabi, United Arab Emirates — CR: 1045782 — VAT: 100456789000003</w:t>
      </w:r>
    </w:p>
    <w:p>
      <w:pPr>
        <w:pStyle w:val="BodyText"/>
      </w:pPr>
      <w:r>
        <w:t xml:space="preserve">This Quotation Estimate is the property of Advanced Scientific Consulting LLC. Unauthorised reproduction or distribution is prohibited under UAE law.</w:t>
      </w:r>
    </w:p>
    <w:p>
      <w:pPr>
        <w:pStyle w:val="BodyText"/>
      </w:pPr>
      <w:r>
        <w:t xml:space="preserve">Document Reference: QTE-AD-2025-04782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United Arab Emirates Abu Dhabi</dc:title>
  <dc:creator/>
  <dc:language>en</dc:language>
  <cp:keywords/>
  <dcterms:created xsi:type="dcterms:W3CDTF">2026-10-10T03:11:17Z</dcterms:created>
  <dcterms:modified xsi:type="dcterms:W3CDTF">2026-10-10T03:11:17Z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