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quotation-estimate"/>
    <w:p>
      <w:pPr>
        <w:pStyle w:val="Heading1"/>
      </w:pPr>
      <w:r>
        <w:t xml:space="preserve">QUOTATION ESTIMATE</w:t>
      </w:r>
    </w:p>
    <w:p>
      <w:pPr>
        <w:pStyle w:val="FirstParagraph"/>
      </w:pPr>
      <w:r>
        <w:t xml:space="preserve">Professional Physicist Consulting &amp; Research Services</w:t>
      </w:r>
    </w:p>
    <w:p>
      <w:pPr>
        <w:pStyle w:val="BodyText"/>
      </w:pPr>
      <w:r>
        <w:t xml:space="preserve">United Arab Emirates — Dubai</w:t>
      </w:r>
    </w:p>
    <w:p>
      <w:pPr>
        <w:pStyle w:val="BodyText"/>
      </w:pPr>
      <w:r>
        <w:t xml:space="preserve">Document Reference: QE-PHY-2025-0047 | Issued in Dubai, United Arab Emirates</w:t>
      </w:r>
    </w:p>
    <w:bookmarkEnd w:id="20"/>
    <w:p>
      <w:pPr>
        <w:pStyle w:val="BodyText"/>
      </w:pPr>
      <w:r>
        <w:rPr>
          <w:bCs/>
          <w:b/>
        </w:rPr>
        <w:t xml:space="preserve">Quotation Estimate No.:</w:t>
      </w:r>
      <w:r>
        <w:t xml:space="preserve"> </w:t>
      </w:r>
      <w:r>
        <w:t xml:space="preserve">QE-PHY-2025-0047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By:</w:t>
      </w:r>
      <w:r>
        <w:t xml:space="preserve"> </w:t>
      </w:r>
      <w:r>
        <w:t xml:space="preserve">Dr. Ahmed Al-Rashid, Ph.D. (Physics)</w:t>
      </w:r>
      <w:r>
        <w:br/>
      </w:r>
      <w:r>
        <w:rPr>
          <w:bCs/>
          <w:b/>
        </w:rPr>
        <w:t xml:space="preserve">Consultancy Firm:</w:t>
      </w:r>
      <w:r>
        <w:t xml:space="preserve"> </w:t>
      </w:r>
      <w:r>
        <w:t xml:space="preserve">Emirates Advanced Sciences Consultancy LLC</w:t>
      </w:r>
      <w:r>
        <w:br/>
      </w:r>
      <w:r>
        <w:rPr>
          <w:bCs/>
          <w:b/>
        </w:rPr>
        <w:t xml:space="preserve">Location:</w:t>
      </w:r>
      <w:r>
        <w:t xml:space="preserve"> </w:t>
      </w:r>
      <w:r>
        <w:t xml:space="preserve">Dubai Internet City, Dubai, United Arab Emirates</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Dubai Research &amp; Innovation Authority (DRIA)</w:t>
            </w:r>
          </w:p>
        </w:tc>
      </w:tr>
      <w:tr>
        <w:tc>
          <w:tcPr/>
          <w:p>
            <w:pPr>
              <w:pStyle w:val="Compact"/>
              <w:jc w:val="left"/>
            </w:pPr>
            <w:r>
              <w:rPr>
                <w:bCs/>
                <w:b/>
              </w:rPr>
              <w:t xml:space="preserve">Address:</w:t>
            </w:r>
          </w:p>
        </w:tc>
        <w:tc>
          <w:tcPr/>
          <w:p>
            <w:pPr>
              <w:pStyle w:val="Compact"/>
              <w:jc w:val="left"/>
            </w:pPr>
            <w:r>
              <w:t xml:space="preserve">Sheikh Zayed Road, Downtown Dubai, United Arab Emirates</w:t>
            </w:r>
          </w:p>
        </w:tc>
      </w:tr>
      <w:tr>
        <w:tc>
          <w:tcPr/>
          <w:p>
            <w:pPr>
              <w:pStyle w:val="Compact"/>
              <w:jc w:val="left"/>
            </w:pPr>
            <w:r>
              <w:rPr>
                <w:bCs/>
                <w:b/>
              </w:rPr>
              <w:t xml:space="preserve">Contact Person:</w:t>
            </w:r>
          </w:p>
        </w:tc>
        <w:tc>
          <w:tcPr/>
          <w:p>
            <w:pPr>
              <w:pStyle w:val="Compact"/>
              <w:jc w:val="left"/>
            </w:pPr>
            <w:r>
              <w:t xml:space="preserve">Dr. Fatima Al-Mansouri, Director of Scientific Affairs</w:t>
            </w:r>
          </w:p>
        </w:tc>
      </w:tr>
      <w:tr>
        <w:tc>
          <w:tcPr/>
          <w:p>
            <w:pPr>
              <w:pStyle w:val="Compact"/>
              <w:jc w:val="left"/>
            </w:pPr>
            <w:r>
              <w:rPr>
                <w:bCs/>
                <w:b/>
              </w:rPr>
              <w:t xml:space="preserve">Email:</w:t>
            </w:r>
          </w:p>
        </w:tc>
        <w:tc>
          <w:tcPr/>
          <w:p>
            <w:pPr>
              <w:pStyle w:val="Compact"/>
              <w:jc w:val="left"/>
            </w:pPr>
            <w:r>
              <w:t xml:space="preserve">f.al-mansouri@dria.ae</w:t>
            </w:r>
          </w:p>
        </w:tc>
      </w:tr>
      <w:tr>
        <w:tc>
          <w:tcPr/>
          <w:p>
            <w:pPr>
              <w:pStyle w:val="Compact"/>
              <w:jc w:val="left"/>
            </w:pPr>
            <w:r>
              <w:rPr>
                <w:bCs/>
                <w:b/>
              </w:rPr>
              <w:t xml:space="preserve">Phone:</w:t>
            </w:r>
          </w:p>
        </w:tc>
        <w:tc>
          <w:tcPr/>
          <w:p>
            <w:pPr>
              <w:pStyle w:val="Compact"/>
              <w:jc w:val="left"/>
            </w:pPr>
            <w:r>
              <w:t xml:space="preserve">+971 4 555 0123</w:t>
            </w:r>
          </w:p>
        </w:tc>
      </w:tr>
    </w:tbl>
    <w:bookmarkEnd w:id="21"/>
    <w:bookmarkStart w:id="22" w:name="scope-of-services-physicist-engagement"/>
    <w:p>
      <w:pPr>
        <w:pStyle w:val="Heading2"/>
      </w:pPr>
      <w:r>
        <w:t xml:space="preserve">2. Scope of Services — Physicist Engagement</w:t>
      </w:r>
    </w:p>
    <w:p>
      <w:pPr>
        <w:pStyle w:val="FirstParagraph"/>
      </w:pPr>
      <w:r>
        <w:t xml:space="preserve">This</w:t>
      </w:r>
      <w:r>
        <w:t xml:space="preserve"> </w:t>
      </w:r>
      <w:r>
        <w:t xml:space="preserve">Quotation Estimate</w:t>
      </w:r>
      <w:r>
        <w:t xml:space="preserve"> </w:t>
      </w:r>
      <w:r>
        <w:t xml:space="preserve">is issued by Emirates Advanced Sciences Consultancy LLC to provide a comprehensive and transparent cost breakdown for the engagement of a senior</w:t>
      </w:r>
      <w:r>
        <w:t xml:space="preserve"> </w:t>
      </w:r>
      <w:r>
        <w:t xml:space="preserve">Physicist</w:t>
      </w:r>
      <w:r>
        <w:t xml:space="preserve"> </w:t>
      </w:r>
      <w:r>
        <w:t xml:space="preserve">to deliver specialized research, advisory, and analytical services within the jurisdiction of</w:t>
      </w:r>
      <w:r>
        <w:t xml:space="preserve"> </w:t>
      </w:r>
      <w:r>
        <w:t xml:space="preserve">United Arab Emirates Dubai</w:t>
      </w:r>
      <w:r>
        <w:t xml:space="preserve">. The Physicist engaged under this Quotation Estimate shall hold a minimum of a Doctorate in Theoretical or Applied Physics, with no fewer than fifteen (15) years of post-doctoral experience in quantum mechanics, condensed matter physics, or particle physics.</w:t>
      </w:r>
    </w:p>
    <w:p>
      <w:pPr>
        <w:pStyle w:val="BodyText"/>
      </w:pPr>
      <w:r>
        <w:t xml:space="preserve">The services outlined in this Quotation Estimate are designed to support the client's strategic research initiatives in Dubai, United Arab Emirates, and shall be delivered in full compliance with the regulations set forth by the Dubai Municipality, the UAE Ministry of Education, and the relevant professional licensing authorities operating in the United Arab Emirates Dubai region.</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(AED)</w:t>
            </w:r>
          </w:p>
        </w:tc>
        <w:tc>
          <w:tcPr/>
          <w:p>
            <w:pPr>
              <w:pStyle w:val="Compact"/>
              <w:jc w:val="left"/>
            </w:pPr>
            <w:r>
              <w:t xml:space="preserve">Total (AED)</w:t>
            </w:r>
          </w:p>
        </w:tc>
      </w:tr>
      <w:tr>
        <w:tc>
          <w:tcPr/>
          <w:p>
            <w:pPr>
              <w:pStyle w:val="Compact"/>
              <w:jc w:val="left"/>
            </w:pPr>
            <w:r>
              <w:t xml:space="preserve">01</w:t>
            </w:r>
          </w:p>
        </w:tc>
        <w:tc>
          <w:tcPr/>
          <w:p>
            <w:pPr>
              <w:pStyle w:val="Compact"/>
              <w:jc w:val="left"/>
            </w:pPr>
            <w:r>
              <w:t xml:space="preserve">Senior Physicist — Full-time Research &amp; Development Consultancy (Quantum Computing Applications)</w:t>
            </w:r>
          </w:p>
        </w:tc>
        <w:tc>
          <w:tcPr/>
          <w:p>
            <w:pPr>
              <w:pStyle w:val="Compact"/>
              <w:jc w:val="left"/>
            </w:pPr>
            <w:r>
              <w:t xml:space="preserve">12 months</w:t>
            </w:r>
          </w:p>
        </w:tc>
        <w:tc>
          <w:tcPr/>
          <w:p>
            <w:pPr>
              <w:pStyle w:val="Compact"/>
              <w:jc w:val="left"/>
            </w:pPr>
            <w:r>
              <w:t xml:space="preserve">45,000 / month</w:t>
            </w:r>
          </w:p>
        </w:tc>
        <w:tc>
          <w:tcPr/>
          <w:p>
            <w:pPr>
              <w:pStyle w:val="Compact"/>
              <w:jc w:val="left"/>
            </w:pPr>
            <w:r>
              <w:t xml:space="preserve">540,000</w:t>
            </w:r>
          </w:p>
        </w:tc>
      </w:tr>
      <w:tr>
        <w:tc>
          <w:tcPr/>
          <w:p>
            <w:pPr>
              <w:pStyle w:val="Compact"/>
              <w:jc w:val="left"/>
            </w:pPr>
            <w:r>
              <w:t xml:space="preserve">02</w:t>
            </w:r>
          </w:p>
        </w:tc>
        <w:tc>
          <w:tcPr/>
          <w:p>
            <w:pPr>
              <w:pStyle w:val="Compact"/>
              <w:jc w:val="left"/>
            </w:pPr>
            <w:r>
              <w:t xml:space="preserve">Physicist — Technical Advisory &amp; Peer Review of Research Proposals</w:t>
            </w:r>
          </w:p>
        </w:tc>
        <w:tc>
          <w:tcPr/>
          <w:p>
            <w:pPr>
              <w:pStyle w:val="Compact"/>
              <w:jc w:val="left"/>
            </w:pPr>
            <w:r>
              <w:t xml:space="preserve">6 months</w:t>
            </w:r>
          </w:p>
        </w:tc>
        <w:tc>
          <w:tcPr/>
          <w:p>
            <w:pPr>
              <w:pStyle w:val="Compact"/>
              <w:jc w:val="left"/>
            </w:pPr>
            <w:r>
              <w:t xml:space="preserve">18,000 / month</w:t>
            </w:r>
          </w:p>
        </w:tc>
        <w:tc>
          <w:tcPr/>
          <w:p>
            <w:pPr>
              <w:pStyle w:val="Compact"/>
              <w:jc w:val="left"/>
            </w:pPr>
            <w:r>
              <w:t xml:space="preserve">108,000</w:t>
            </w:r>
          </w:p>
        </w:tc>
      </w:tr>
      <w:tr>
        <w:tc>
          <w:tcPr/>
          <w:p>
            <w:pPr>
              <w:pStyle w:val="Compact"/>
              <w:jc w:val="left"/>
            </w:pPr>
            <w:r>
              <w:t xml:space="preserve">03</w:t>
            </w:r>
          </w:p>
        </w:tc>
        <w:tc>
          <w:tcPr/>
          <w:p>
            <w:pPr>
              <w:pStyle w:val="Compact"/>
              <w:jc w:val="left"/>
            </w:pPr>
            <w:r>
              <w:t xml:space="preserve">Physicist — Laboratory Supervision &amp; Experimental Design (Dubai Science Park)</w:t>
            </w:r>
          </w:p>
        </w:tc>
        <w:tc>
          <w:tcPr/>
          <w:p>
            <w:pPr>
              <w:pStyle w:val="Compact"/>
              <w:jc w:val="left"/>
            </w:pPr>
            <w:r>
              <w:t xml:space="preserve">12 months</w:t>
            </w:r>
          </w:p>
        </w:tc>
        <w:tc>
          <w:tcPr/>
          <w:p>
            <w:pPr>
              <w:pStyle w:val="Compact"/>
              <w:jc w:val="left"/>
            </w:pPr>
            <w:r>
              <w:t xml:space="preserve">22,000 / month</w:t>
            </w:r>
          </w:p>
        </w:tc>
        <w:tc>
          <w:tcPr/>
          <w:p>
            <w:pPr>
              <w:pStyle w:val="Compact"/>
              <w:jc w:val="left"/>
            </w:pPr>
            <w:r>
              <w:t xml:space="preserve">264,000</w:t>
            </w:r>
          </w:p>
        </w:tc>
      </w:tr>
      <w:tr>
        <w:tc>
          <w:tcPr/>
          <w:p>
            <w:pPr>
              <w:pStyle w:val="Compact"/>
              <w:jc w:val="left"/>
            </w:pPr>
            <w:r>
              <w:t xml:space="preserve">04</w:t>
            </w:r>
          </w:p>
        </w:tc>
        <w:tc>
          <w:tcPr/>
          <w:p>
            <w:pPr>
              <w:pStyle w:val="Compact"/>
              <w:jc w:val="left"/>
            </w:pPr>
            <w:r>
              <w:t xml:space="preserve">Physicist — Academic Training &amp; Workshop Delivery for UAE Research Staff</w:t>
            </w:r>
          </w:p>
        </w:tc>
        <w:tc>
          <w:tcPr/>
          <w:p>
            <w:pPr>
              <w:pStyle w:val="Compact"/>
              <w:jc w:val="left"/>
            </w:pPr>
            <w:r>
              <w:t xml:space="preserve">4 sessions</w:t>
            </w:r>
          </w:p>
        </w:tc>
        <w:tc>
          <w:tcPr/>
          <w:p>
            <w:pPr>
              <w:pStyle w:val="Compact"/>
              <w:jc w:val="left"/>
            </w:pPr>
            <w:r>
              <w:t xml:space="preserve">15,000 / session</w:t>
            </w:r>
          </w:p>
        </w:tc>
        <w:tc>
          <w:tcPr/>
          <w:p>
            <w:pPr>
              <w:pStyle w:val="Compact"/>
              <w:jc w:val="left"/>
            </w:pPr>
            <w:r>
              <w:t xml:space="preserve">60,000</w:t>
            </w:r>
          </w:p>
        </w:tc>
      </w:tr>
      <w:tr>
        <w:tc>
          <w:tcPr/>
          <w:p>
            <w:pPr>
              <w:pStyle w:val="Compact"/>
              <w:jc w:val="left"/>
            </w:pPr>
            <w:r>
              <w:t xml:space="preserve">05</w:t>
            </w:r>
          </w:p>
        </w:tc>
        <w:tc>
          <w:tcPr/>
          <w:p>
            <w:pPr>
              <w:pStyle w:val="Compact"/>
              <w:jc w:val="left"/>
            </w:pPr>
            <w:r>
              <w:t xml:space="preserve">Physicist — Publication Support, Grant Writing &amp; Intellectual Property Filing (UAE)</w:t>
            </w:r>
          </w:p>
        </w:tc>
        <w:tc>
          <w:tcPr/>
          <w:p>
            <w:pPr>
              <w:pStyle w:val="Compact"/>
              <w:jc w:val="left"/>
            </w:pPr>
            <w:r>
              <w:t xml:space="preserve">12 months</w:t>
            </w:r>
          </w:p>
        </w:tc>
        <w:tc>
          <w:tcPr/>
          <w:p>
            <w:pPr>
              <w:pStyle w:val="Compact"/>
              <w:jc w:val="left"/>
            </w:pPr>
            <w:r>
              <w:t xml:space="preserve">8,000 / month</w:t>
            </w:r>
          </w:p>
        </w:tc>
        <w:tc>
          <w:tcPr/>
          <w:p>
            <w:pPr>
              <w:pStyle w:val="Compact"/>
              <w:jc w:val="left"/>
            </w:pPr>
            <w:r>
              <w:t xml:space="preserve">96,000</w:t>
            </w:r>
          </w:p>
        </w:tc>
      </w:tr>
      <w:tr>
        <w:tc>
          <w:tcPr/>
          <w:p>
            <w:pPr>
              <w:pStyle w:val="Compact"/>
              <w:jc w:val="left"/>
            </w:pPr>
            <w:r>
              <w:t xml:space="preserve">06</w:t>
            </w:r>
          </w:p>
        </w:tc>
        <w:tc>
          <w:tcPr/>
          <w:p>
            <w:pPr>
              <w:pStyle w:val="Compact"/>
              <w:jc w:val="left"/>
            </w:pPr>
            <w:r>
              <w:t xml:space="preserve">Travel, Accommodation &amp; Relocation Allowance for Physicist (within United Arab Emirates Dubai)</w:t>
            </w:r>
          </w:p>
        </w:tc>
        <w:tc>
          <w:tcPr/>
          <w:p>
            <w:pPr>
              <w:pStyle w:val="Compact"/>
              <w:jc w:val="left"/>
            </w:pPr>
            <w:r>
              <w:t xml:space="preserve">One-time</w:t>
            </w:r>
          </w:p>
        </w:tc>
        <w:tc>
          <w:tcPr/>
          <w:p>
            <w:pPr>
              <w:pStyle w:val="Compact"/>
              <w:jc w:val="left"/>
            </w:pPr>
            <w:r>
              <w:t xml:space="preserve">—</w:t>
            </w:r>
          </w:p>
        </w:tc>
        <w:tc>
          <w:tcPr/>
          <w:p>
            <w:pPr>
              <w:pStyle w:val="Compact"/>
              <w:jc w:val="left"/>
            </w:pPr>
            <w:r>
              <w:t xml:space="preserve">45,000</w:t>
            </w:r>
          </w:p>
        </w:tc>
      </w:tr>
      <w:tr>
        <w:tc>
          <w:tcPr/>
          <w:p>
            <w:pPr>
              <w:pStyle w:val="Compact"/>
              <w:jc w:val="left"/>
            </w:pPr>
            <w:r>
              <w:t xml:space="preserve">07</w:t>
            </w:r>
          </w:p>
        </w:tc>
        <w:tc>
          <w:tcPr/>
          <w:p>
            <w:pPr>
              <w:pStyle w:val="Compact"/>
              <w:jc w:val="left"/>
            </w:pPr>
            <w:r>
              <w:t xml:space="preserve">Professional Licensing, Visa Processing &amp; Emirates ID for Physicist (UAE Regulations)</w:t>
            </w:r>
          </w:p>
        </w:tc>
        <w:tc>
          <w:tcPr/>
          <w:p>
            <w:pPr>
              <w:pStyle w:val="Compact"/>
              <w:jc w:val="left"/>
            </w:pPr>
            <w:r>
              <w:t xml:space="preserve">One-time</w:t>
            </w:r>
          </w:p>
        </w:tc>
        <w:tc>
          <w:tcPr/>
          <w:p>
            <w:pPr>
              <w:pStyle w:val="Compact"/>
              <w:jc w:val="left"/>
            </w:pPr>
            <w:r>
              <w:t xml:space="preserve">—</w:t>
            </w:r>
          </w:p>
        </w:tc>
        <w:tc>
          <w:tcPr/>
          <w:p>
            <w:pPr>
              <w:pStyle w:val="Compact"/>
              <w:jc w:val="left"/>
            </w:pPr>
            <w:r>
              <w:t xml:space="preserve">12,500</w:t>
            </w:r>
          </w:p>
        </w:tc>
      </w:tr>
      <w:tr>
        <w:tc>
          <w:tcPr/>
          <w:p>
            <w:pPr>
              <w:pStyle w:val="Compact"/>
              <w:jc w:val="left"/>
            </w:pPr>
            <w:r>
              <w:t xml:space="preserve">08</w:t>
            </w:r>
          </w:p>
        </w:tc>
        <w:tc>
          <w:tcPr/>
          <w:p>
            <w:pPr>
              <w:pStyle w:val="Compact"/>
              <w:jc w:val="left"/>
            </w:pPr>
            <w:r>
              <w:t xml:space="preserve">Equipment Calibration &amp; Laboratory Consumables (as directed by the Physicist)</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75,000</w:t>
            </w:r>
          </w:p>
        </w:tc>
      </w:tr>
      <w:tr>
        <w:tc>
          <w:tcPr>
            <w:gridSpan w:val="4"/>
          </w:tcPr>
          <w:p>
            <w:pPr>
              <w:pStyle w:val="Compact"/>
              <w:jc w:val="left"/>
            </w:pPr>
            <w:r>
              <w:t xml:space="preserve">SUBTOTAL (AED)</w:t>
            </w:r>
          </w:p>
        </w:tc>
        <w:tc>
          <w:tcPr/>
          <w:p>
            <w:pPr>
              <w:pStyle w:val="Compact"/>
              <w:jc w:val="left"/>
            </w:pPr>
            <w:r>
              <w:t xml:space="preserve">1,200,500</w:t>
            </w:r>
          </w:p>
        </w:tc>
      </w:tr>
      <w:tr>
        <w:tc>
          <w:tcPr>
            <w:gridSpan w:val="4"/>
          </w:tcPr>
          <w:p>
            <w:pPr>
              <w:pStyle w:val="Compact"/>
              <w:jc w:val="left"/>
            </w:pPr>
            <w:r>
              <w:t xml:space="preserve">VAT (5% — United Arab Emirates Federal Tax Authority)</w:t>
            </w:r>
          </w:p>
        </w:tc>
        <w:tc>
          <w:tcPr/>
          <w:p>
            <w:pPr>
              <w:pStyle w:val="Compact"/>
              <w:jc w:val="left"/>
            </w:pPr>
            <w:r>
              <w:t xml:space="preserve">60,025</w:t>
            </w:r>
          </w:p>
        </w:tc>
      </w:tr>
      <w:tr>
        <w:tc>
          <w:tcPr>
            <w:gridSpan w:val="4"/>
          </w:tcPr>
          <w:p>
            <w:pPr>
              <w:pStyle w:val="Compact"/>
              <w:jc w:val="left"/>
            </w:pPr>
            <w:r>
              <w:t xml:space="preserve">GRAND TOTAL (AED)</w:t>
            </w:r>
          </w:p>
        </w:tc>
        <w:tc>
          <w:tcPr/>
          <w:p>
            <w:pPr>
              <w:pStyle w:val="Compact"/>
              <w:jc w:val="left"/>
            </w:pPr>
            <w:r>
              <w:t xml:space="preserve">1,260,525</w:t>
            </w:r>
          </w:p>
        </w:tc>
      </w:tr>
    </w:tbl>
    <w:bookmarkEnd w:id="23"/>
    <w:bookmarkStart w:id="24" w:name="X985eb999f0cfcda5f1af1a675bf0b7c2e0a6c64"/>
    <w:p>
      <w:pPr>
        <w:pStyle w:val="Heading2"/>
      </w:pPr>
      <w:r>
        <w:t xml:space="preserve">4. Terms and Conditions of This Quotation Estimate</w:t>
      </w:r>
    </w:p>
    <w:p>
      <w:pPr>
        <w:pStyle w:val="FirstParagraph"/>
      </w:pPr>
      <w:r>
        <w:rPr>
          <w:bCs/>
          <w:b/>
        </w:rPr>
        <w:t xml:space="preserve">4.1</w:t>
      </w:r>
      <w:r>
        <w:t xml:space="preserve"> </w:t>
      </w:r>
      <w:r>
        <w:t xml:space="preserve">This Quotation Estimate is valid for a period of thirty (30) calendar days from the date of issue. Beyond this period, all rates and terms subject to this Quotation Estimate may be revised to reflect current market conditions in United Arab Emirates Dubai.</w:t>
      </w:r>
    </w:p>
    <w:p>
      <w:pPr>
        <w:pStyle w:val="BodyText"/>
      </w:pPr>
      <w:r>
        <w:rPr>
          <w:bCs/>
          <w:b/>
        </w:rPr>
        <w:t xml:space="preserve">4.2</w:t>
      </w:r>
      <w:r>
        <w:t xml:space="preserve"> </w:t>
      </w:r>
      <w:r>
        <w:t xml:space="preserve">The Physicist named under this Quotation Estimate shall be subject to a background verification, professional reference check, and medical fitness assessment as mandated by the UAE Federal Authority for Identity, Citizenship, Customs &amp; Port Security and the Dubai Health Authority.</w:t>
      </w:r>
    </w:p>
    <w:p>
      <w:pPr>
        <w:pStyle w:val="BodyText"/>
      </w:pPr>
      <w:r>
        <w:rPr>
          <w:bCs/>
          <w:b/>
        </w:rPr>
        <w:t xml:space="preserve">4.3</w:t>
      </w:r>
      <w:r>
        <w:t xml:space="preserve"> </w:t>
      </w:r>
      <w:r>
        <w:t xml:space="preserve">Payment terms: 30% advance upon acceptance of this Quotation Estimate, 40% upon completion of the first six (6) months of service delivery, and 30% upon final project closure and submission of the comprehensive research report to the client in Dubai, United Arab Emirates.</w:t>
      </w:r>
    </w:p>
    <w:p>
      <w:pPr>
        <w:pStyle w:val="BodyText"/>
      </w:pPr>
      <w:r>
        <w:rPr>
          <w:bCs/>
          <w:b/>
        </w:rPr>
        <w:t xml:space="preserve">4.4</w:t>
      </w:r>
      <w:r>
        <w:t xml:space="preserve"> </w:t>
      </w:r>
      <w:r>
        <w:t xml:space="preserve">All intellectual property, research data, and publications generated by the Physicist during the engagement period shall be jointly owned by the client and the consultancy firm, in accordance with UAE Federal Decree-Law No. 31 of 2021 on the Protection of Copyright and Related Rights.</w:t>
      </w:r>
    </w:p>
    <w:p>
      <w:pPr>
        <w:pStyle w:val="BodyText"/>
      </w:pPr>
      <w:r>
        <w:rPr>
          <w:bCs/>
          <w:b/>
        </w:rPr>
        <w:t xml:space="preserve">4.5</w:t>
      </w:r>
      <w:r>
        <w:t xml:space="preserve"> </w:t>
      </w:r>
      <w:r>
        <w:t xml:space="preserve">The Physicist shall comply with all data protection regulations under the UAE Personal Data Protection Law (Federal Decree-Law No. 45 of 2021) and shall not transfer any sensitive research data outside the United Arab Emirates without prior written consent.</w:t>
      </w:r>
    </w:p>
    <w:p>
      <w:pPr>
        <w:pStyle w:val="BodyText"/>
      </w:pPr>
      <w:r>
        <w:rPr>
          <w:bCs/>
          <w:b/>
        </w:rPr>
        <w:t xml:space="preserve">4.6</w:t>
      </w:r>
      <w:r>
        <w:t xml:space="preserve"> </w:t>
      </w:r>
      <w:r>
        <w:t xml:space="preserve">Any scope changes, additional Physicist engagements, or extended service periods beyond those specified in this Quotation Estimate shall require a formal amendment document signed by both parties.</w:t>
      </w:r>
    </w:p>
    <w:p>
      <w:pPr>
        <w:pStyle w:val="BodyText"/>
      </w:pPr>
      <w:r>
        <w:rPr>
          <w:bCs/>
          <w:b/>
        </w:rPr>
        <w:t xml:space="preserve">4.7</w:t>
      </w:r>
      <w:r>
        <w:t xml:space="preserve"> </w:t>
      </w:r>
      <w:r>
        <w:t xml:space="preserve">Disputes arising from this Quotation Estimate shall be resolved through arbitration in Dubai, United Arab Emirates, in accordance with the rules of the Dubai International Arbitration Centre (DIAC).</w:t>
      </w:r>
    </w:p>
    <w:p>
      <w:pPr>
        <w:pStyle w:val="BodyText"/>
      </w:pPr>
      <w:r>
        <w:rPr>
          <w:bCs/>
          <w:b/>
        </w:rPr>
        <w:t xml:space="preserve">Important Note:</w:t>
      </w:r>
      <w:r>
        <w:t xml:space="preserve"> </w:t>
      </w:r>
      <w:r>
        <w:t xml:space="preserve">This Quotation Estimate is prepared exclusively for the client named above and is non-transferable. All monetary values are denominated in United Arab Emirates Dirhams (AED). The engagement of the Physicist is contingent upon the successful completion of all UAE regulatory approvals, visa processing, and professional licensing procedures in Dubai, United Arab Emirates.</w:t>
      </w:r>
    </w:p>
    <w:bookmarkEnd w:id="24"/>
    <w:bookmarkStart w:id="25" w:name="acceptance-authorization"/>
    <w:p>
      <w:pPr>
        <w:pStyle w:val="Heading2"/>
      </w:pPr>
      <w:r>
        <w:t xml:space="preserve">5. Acceptance &amp; Authorization</w:t>
      </w:r>
    </w:p>
    <w:p>
      <w:pPr>
        <w:pStyle w:val="FirstParagraph"/>
      </w:pPr>
      <w:r>
        <w:t xml:space="preserve">By signing below, the client acknowledges receipt of this Quotation Estimate and agrees to the terms, conditions, and cost structure outlined herein for the engagement of the Physicist in United Arab Emirates Dubai.</w:t>
      </w:r>
    </w:p>
    <w:p>
      <w:pPr>
        <w:pStyle w:val="BodyText"/>
      </w:pPr>
      <w:r>
        <w:rPr>
          <w:bCs/>
          <w:b/>
        </w:rPr>
        <w:t xml:space="preserve">For: Emirates Advanced Sciences Consultancy LLC</w:t>
      </w:r>
      <w:r>
        <w:br/>
      </w:r>
      <w:r>
        <w:t xml:space="preserve">Dr. Ahmed Al-Rashid, Ph.D.</w:t>
      </w:r>
      <w:r>
        <w:br/>
      </w:r>
      <w:r>
        <w:t xml:space="preserve">Chief Scientific Officer</w:t>
      </w:r>
      <w:r>
        <w:br/>
      </w:r>
      <w:r>
        <w:t xml:space="preserve">Date: _______________</w:t>
      </w:r>
    </w:p>
    <w:p>
      <w:pPr>
        <w:pStyle w:val="BodyText"/>
      </w:pPr>
      <w:r>
        <w:rPr>
          <w:bCs/>
          <w:b/>
        </w:rPr>
        <w:t xml:space="preserve">For: Dubai Research &amp; Innovation Authority (DRIA)</w:t>
      </w:r>
      <w:r>
        <w:br/>
      </w:r>
      <w:r>
        <w:t xml:space="preserve">Dr. Fatima Al-Mansouri</w:t>
      </w:r>
      <w:r>
        <w:br/>
      </w:r>
      <w:r>
        <w:t xml:space="preserve">Director of Scientific Affairs</w:t>
      </w:r>
      <w:r>
        <w:br/>
      </w:r>
      <w:r>
        <w:t xml:space="preserve">Date: _______________</w:t>
      </w:r>
    </w:p>
    <w:p>
      <w:pPr>
        <w:pStyle w:val="BodyText"/>
      </w:pPr>
      <w:r>
        <w:t xml:space="preserve">Emirates Advanced Sciences Consultancy LLC | Dubai Internet City, Dubai, United Arab Emirates</w:t>
      </w:r>
    </w:p>
    <w:p>
      <w:pPr>
        <w:pStyle w:val="BodyText"/>
      </w:pPr>
      <w:r>
        <w:t xml:space="preserve">TRN: 100234567800003 | License No: DED-2019-45872 | Tel: +971 4 888 7654 | Email: info@easc-consultancy.ae</w:t>
      </w:r>
    </w:p>
    <w:p>
      <w:pPr>
        <w:pStyle w:val="BodyText"/>
      </w:pPr>
      <w:r>
        <w:t xml:space="preserve">This Quotation Estimate document is generated electronically and is valid without a physical stamp. © 2025 Emirates Advanced Sciences Consultancy LLC.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Physicist Services - United Arab Emirates Dubai</dc:title>
  <dc:creator/>
  <dc:language>en</dc:language>
  <cp:keywords/>
  <dcterms:created xsi:type="dcterms:W3CDTF">2026-10-10T03:12:33Z</dcterms:created>
  <dcterms:modified xsi:type="dcterms:W3CDTF">2026-10-10T03:12:33Z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