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Physicist Consulting &amp; Technical Services</w:t>
      </w:r>
    </w:p>
    <w:p>
      <w:pPr>
        <w:pStyle w:val="BodyText"/>
      </w:pPr>
      <w:r>
        <w:t xml:space="preserve">United States San Francisco, California 94103</w:t>
      </w:r>
    </w:p>
    <w:bookmarkEnd w:id="20"/>
    <w:p>
      <w:pPr>
        <w:pStyle w:val="BodyText"/>
      </w:pPr>
      <w:r>
        <w:rPr>
          <w:bCs/>
          <w:b/>
        </w:rPr>
        <w:t xml:space="preserve">Quotation No.:</w:t>
      </w:r>
      <w:r>
        <w:t xml:space="preserve"> </w:t>
      </w:r>
      <w:r>
        <w:t xml:space="preserve">QTE-SF-2025-0487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Vasquez, Ph.D.</w:t>
      </w:r>
      <w:r>
        <w:br/>
      </w:r>
      <w:r>
        <w:rPr>
          <w:bCs/>
          <w:b/>
        </w:rPr>
        <w:t xml:space="preserve">Firm:</w:t>
      </w:r>
      <w:r>
        <w:t xml:space="preserve"> </w:t>
      </w:r>
      <w:r>
        <w:t xml:space="preserve">Pacific Bay Physics Consulting LLC</w:t>
      </w:r>
      <w:r>
        <w:br/>
      </w:r>
      <w:r>
        <w:rPr>
          <w:bCs/>
          <w:b/>
        </w:rPr>
        <w:t xml:space="preserve">Address:</w:t>
      </w:r>
      <w:r>
        <w:t xml:space="preserve"> </w:t>
      </w:r>
      <w:r>
        <w:t xml:space="preserve">1200 Market Street, Suite 450</w:t>
      </w:r>
      <w:r>
        <w:br/>
      </w:r>
      <w:r>
        <w:t xml:space="preserve">San Francisco, CA 94102, United States</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following client entity operating within the United States San Francisco metropolitan area:</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Horizon Semiconductor Research Group, Inc.</w:t>
            </w:r>
          </w:p>
        </w:tc>
      </w:tr>
      <w:tr>
        <w:tc>
          <w:tcPr/>
          <w:p>
            <w:pPr>
              <w:pStyle w:val="Compact"/>
              <w:jc w:val="left"/>
            </w:pPr>
            <w:r>
              <w:t xml:space="preserve">Client Address</w:t>
            </w:r>
          </w:p>
        </w:tc>
        <w:tc>
          <w:tcPr/>
          <w:p>
            <w:pPr>
              <w:pStyle w:val="Compact"/>
              <w:jc w:val="left"/>
            </w:pPr>
            <w:r>
              <w:t xml:space="preserve">450 Mission Bay Boulevard South, San Francisco, CA 94158, United States</w:t>
            </w:r>
          </w:p>
        </w:tc>
      </w:tr>
      <w:tr>
        <w:tc>
          <w:tcPr/>
          <w:p>
            <w:pPr>
              <w:pStyle w:val="Compact"/>
              <w:jc w:val="left"/>
            </w:pPr>
            <w:r>
              <w:t xml:space="preserve">Point of Contact</w:t>
            </w:r>
          </w:p>
        </w:tc>
        <w:tc>
          <w:tcPr/>
          <w:p>
            <w:pPr>
              <w:pStyle w:val="Compact"/>
              <w:jc w:val="left"/>
            </w:pPr>
            <w:r>
              <w:t xml:space="preserve">Mr. David Chen, Director of Applied Sciences</w:t>
            </w:r>
          </w:p>
        </w:tc>
      </w:tr>
      <w:tr>
        <w:tc>
          <w:tcPr/>
          <w:p>
            <w:pPr>
              <w:pStyle w:val="Compact"/>
              <w:jc w:val="left"/>
            </w:pPr>
            <w:r>
              <w:t xml:space="preserve">Project Reference</w:t>
            </w:r>
          </w:p>
        </w:tc>
        <w:tc>
          <w:tcPr/>
          <w:p>
            <w:pPr>
              <w:pStyle w:val="Compact"/>
              <w:jc w:val="left"/>
            </w:pPr>
            <w:r>
              <w:t xml:space="preserve">HSRG-2025-Q3-Quantum-Materials</w:t>
            </w:r>
          </w:p>
        </w:tc>
      </w:tr>
    </w:tbl>
    <w:bookmarkEnd w:id="21"/>
    <w:bookmarkStart w:id="22" w:name="scope-of-work-physicist-engagement"/>
    <w:p>
      <w:pPr>
        <w:pStyle w:val="Heading2"/>
      </w:pPr>
      <w:r>
        <w:t xml:space="preserve">2. Scope of Work – Physicist Engagement</w:t>
      </w:r>
    </w:p>
    <w:p>
      <w:pPr>
        <w:pStyle w:val="FirstParagraph"/>
      </w:pPr>
      <w:r>
        <w:t xml:space="preserve">Pacific Bay Physics Consulting LLC is pleased to submit this</w:t>
      </w:r>
      <w:r>
        <w:t xml:space="preserve"> </w:t>
      </w:r>
      <w:r>
        <w:t xml:space="preserve">Quotation Estimate</w:t>
      </w:r>
      <w:r>
        <w:t xml:space="preserve"> </w:t>
      </w:r>
      <w:r>
        <w:t xml:space="preserve">for the engagement of a senior</w:t>
      </w:r>
      <w:r>
        <w:t xml:space="preserve"> </w:t>
      </w:r>
      <w:r>
        <w:t xml:space="preserve">Physicist</w:t>
      </w:r>
      <w:r>
        <w:t xml:space="preserve"> </w:t>
      </w:r>
      <w:r>
        <w:t xml:space="preserve">to provide specialized technical consulting, research oversight, and analytical support to Horizon Semiconductor Research Group. The</w:t>
      </w:r>
      <w:r>
        <w:t xml:space="preserve"> </w:t>
      </w:r>
      <w:r>
        <w:t xml:space="preserve">Physicist</w:t>
      </w:r>
      <w:r>
        <w:t xml:space="preserve"> </w:t>
      </w:r>
      <w:r>
        <w:t xml:space="preserve">will be based in the United States San Francisco office and will operate under the following scope of responsibilities:</w:t>
      </w:r>
    </w:p>
    <w:p>
      <w:pPr>
        <w:numPr>
          <w:ilvl w:val="0"/>
          <w:numId w:val="1001"/>
        </w:numPr>
        <w:pStyle w:val="Compact"/>
      </w:pPr>
      <w:r>
        <w:t xml:space="preserve">Design and supervision of quantum materials experimentation protocols for next-generation semiconductor substrates.</w:t>
      </w:r>
    </w:p>
    <w:p>
      <w:pPr>
        <w:numPr>
          <w:ilvl w:val="0"/>
          <w:numId w:val="1001"/>
        </w:numPr>
        <w:pStyle w:val="Compact"/>
      </w:pPr>
      <w:r>
        <w:t xml:space="preserve">Development of theoretical models for electron transport phenomena in two-dimensional heterostructures.</w:t>
      </w:r>
    </w:p>
    <w:p>
      <w:pPr>
        <w:numPr>
          <w:ilvl w:val="0"/>
          <w:numId w:val="1001"/>
        </w:numPr>
        <w:pStyle w:val="Compact"/>
      </w:pPr>
      <w:r>
        <w:t xml:space="preserve">Peer review and validation of experimental data sets collected by the in-house research team.</w:t>
      </w:r>
    </w:p>
    <w:p>
      <w:pPr>
        <w:numPr>
          <w:ilvl w:val="0"/>
          <w:numId w:val="1001"/>
        </w:numPr>
        <w:pStyle w:val="Compact"/>
      </w:pPr>
      <w:r>
        <w:t xml:space="preserve">Preparation of technical white papers and conference presentations for publication in peer-reviewed journals.</w:t>
      </w:r>
    </w:p>
    <w:p>
      <w:pPr>
        <w:numPr>
          <w:ilvl w:val="0"/>
          <w:numId w:val="1001"/>
        </w:numPr>
        <w:pStyle w:val="Compact"/>
      </w:pPr>
      <w:r>
        <w:t xml:space="preserve">Mentorship of junior research staff in advanced solid-state physics methodologies.</w:t>
      </w:r>
    </w:p>
    <w:p>
      <w:pPr>
        <w:numPr>
          <w:ilvl w:val="0"/>
          <w:numId w:val="1001"/>
        </w:numPr>
        <w:pStyle w:val="Compact"/>
      </w:pPr>
      <w:r>
        <w:t xml:space="preserve">Collaboration with the engineering division on thermal management and phonon scattering optimization.</w:t>
      </w:r>
    </w:p>
    <w:p>
      <w:pPr>
        <w:numPr>
          <w:ilvl w:val="0"/>
          <w:numId w:val="1001"/>
        </w:numPr>
        <w:pStyle w:val="Compact"/>
      </w:pPr>
      <w:r>
        <w:t xml:space="preserve">Monthly progress reporting to the client's executive leadership team in San Francisco.</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holds a Doctor of Philosophy in Condensed Matter Physics from the University of California, Berkeley, and possesses over fifteen years of postdoctoral research experience in quantum materials and nanoscale device physics. The candidate is fully licensed and registered to perform professional scientific consulting within the State of California and the United States.</w:t>
      </w:r>
    </w:p>
    <w:bookmarkEnd w:id="22"/>
    <w:bookmarkStart w:id="23" w:name="financial-breakdown"/>
    <w:p>
      <w:pPr>
        <w:pStyle w:val="Heading2"/>
      </w:pPr>
      <w:r>
        <w:t xml:space="preserve">3. Financial Breakdown</w:t>
      </w:r>
    </w:p>
    <w:p>
      <w:pPr>
        <w:pStyle w:val="FirstParagraph"/>
      </w:pPr>
      <w:r>
        <w:t xml:space="preserve">The following table constitutes the complete financial component of this</w:t>
      </w:r>
      <w:r>
        <w:t xml:space="preserve"> </w:t>
      </w:r>
      <w:r>
        <w:t xml:space="preserve">Quotation Estimate</w:t>
      </w:r>
      <w:r>
        <w:t xml:space="preserve"> </w:t>
      </w:r>
      <w:r>
        <w:t xml:space="preserve">for the</w:t>
      </w:r>
      <w:r>
        <w:t xml:space="preserve"> </w:t>
      </w:r>
      <w:r>
        <w:t xml:space="preserve">Physicist</w:t>
      </w:r>
      <w:r>
        <w:t xml:space="preserve"> </w:t>
      </w:r>
      <w:r>
        <w:t xml:space="preserve">engagement in United States San Francisco. All figures are expressed in United States Dollars (USD) and are subject to applicable California state and federal tax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1.0</w:t>
            </w:r>
          </w:p>
        </w:tc>
        <w:tc>
          <w:tcPr/>
          <w:p>
            <w:pPr>
              <w:pStyle w:val="Compact"/>
              <w:jc w:val="left"/>
            </w:pPr>
            <w:r>
              <w:t xml:space="preserve">Senior Physicist – Hourly Consulting Fee</w:t>
            </w:r>
          </w:p>
        </w:tc>
        <w:tc>
          <w:tcPr/>
          <w:p>
            <w:pPr>
              <w:pStyle w:val="Compact"/>
              <w:jc w:val="left"/>
            </w:pPr>
            <w:r>
              <w:t xml:space="preserve">120 hours</w:t>
            </w:r>
          </w:p>
        </w:tc>
        <w:tc>
          <w:tcPr/>
          <w:p>
            <w:pPr>
              <w:pStyle w:val="Compact"/>
              <w:jc w:val="left"/>
            </w:pPr>
            <w:r>
              <w:t xml:space="preserve">$285.00/hr</w:t>
            </w:r>
          </w:p>
        </w:tc>
        <w:tc>
          <w:tcPr/>
          <w:p>
            <w:pPr>
              <w:pStyle w:val="Compact"/>
              <w:jc w:val="left"/>
            </w:pPr>
            <w:r>
              <w:t xml:space="preserve">$34,200.00</w:t>
            </w:r>
          </w:p>
        </w:tc>
      </w:tr>
      <w:tr>
        <w:tc>
          <w:tcPr/>
          <w:p>
            <w:pPr>
              <w:pStyle w:val="Compact"/>
              <w:jc w:val="left"/>
            </w:pPr>
            <w:r>
              <w:t xml:space="preserve">2.0</w:t>
            </w:r>
          </w:p>
        </w:tc>
        <w:tc>
          <w:tcPr/>
          <w:p>
            <w:pPr>
              <w:pStyle w:val="Compact"/>
              <w:jc w:val="left"/>
            </w:pPr>
            <w:r>
              <w:t xml:space="preserve">Physicist – Project Milestone Deliverables (3 milestones)</w:t>
            </w:r>
          </w:p>
        </w:tc>
        <w:tc>
          <w:tcPr/>
          <w:p>
            <w:pPr>
              <w:pStyle w:val="Compact"/>
              <w:jc w:val="left"/>
            </w:pPr>
            <w:r>
              <w:t xml:space="preserve">Fixed</w:t>
            </w:r>
          </w:p>
        </w:tc>
        <w:tc>
          <w:tcPr/>
          <w:p>
            <w:pPr>
              <w:pStyle w:val="Compact"/>
              <w:jc w:val="left"/>
            </w:pPr>
            <w:r>
              <w:t xml:space="preserve">$8,500.00 each</w:t>
            </w:r>
          </w:p>
        </w:tc>
        <w:tc>
          <w:tcPr/>
          <w:p>
            <w:pPr>
              <w:pStyle w:val="Compact"/>
              <w:jc w:val="left"/>
            </w:pPr>
            <w:r>
              <w:t xml:space="preserve">$25,500.00</w:t>
            </w:r>
          </w:p>
        </w:tc>
      </w:tr>
      <w:tr>
        <w:tc>
          <w:tcPr/>
          <w:p>
            <w:pPr>
              <w:pStyle w:val="Compact"/>
              <w:jc w:val="left"/>
            </w:pPr>
            <w:r>
              <w:t xml:space="preserve">3.0</w:t>
            </w:r>
          </w:p>
        </w:tc>
        <w:tc>
          <w:tcPr/>
          <w:p>
            <w:pPr>
              <w:pStyle w:val="Compact"/>
              <w:jc w:val="left"/>
            </w:pPr>
            <w:r>
              <w:t xml:space="preserve">Travel &amp; Local Transportation within San Francisco Bay Area</w:t>
            </w:r>
          </w:p>
        </w:tc>
        <w:tc>
          <w:tcPr/>
          <w:p>
            <w:pPr>
              <w:pStyle w:val="Compact"/>
              <w:jc w:val="left"/>
            </w:pPr>
            <w:r>
              <w:t xml:space="preserve">6 months</w:t>
            </w:r>
          </w:p>
        </w:tc>
        <w:tc>
          <w:tcPr/>
          <w:p>
            <w:pPr>
              <w:pStyle w:val="Compact"/>
              <w:jc w:val="left"/>
            </w:pPr>
            <w:r>
              <w:t xml:space="preserve">Reimbursable</w:t>
            </w:r>
          </w:p>
        </w:tc>
        <w:tc>
          <w:tcPr/>
          <w:p>
            <w:pPr>
              <w:pStyle w:val="Compact"/>
              <w:jc w:val="left"/>
            </w:pPr>
            <w:r>
              <w:t xml:space="preserve">$3,200.00</w:t>
            </w:r>
          </w:p>
        </w:tc>
      </w:tr>
      <w:tr>
        <w:tc>
          <w:tcPr/>
          <w:p>
            <w:pPr>
              <w:pStyle w:val="Compact"/>
              <w:jc w:val="left"/>
            </w:pPr>
            <w:r>
              <w:t xml:space="preserve">4.0</w:t>
            </w:r>
          </w:p>
        </w:tc>
        <w:tc>
          <w:tcPr/>
          <w:p>
            <w:pPr>
              <w:pStyle w:val="Compact"/>
              <w:jc w:val="left"/>
            </w:pPr>
            <w:r>
              <w:t xml:space="preserve">Specialized Software Licenses (COMSOL, Quantum ESPRESSO, VASP)</w:t>
            </w:r>
          </w:p>
        </w:tc>
        <w:tc>
          <w:tcPr/>
          <w:p>
            <w:pPr>
              <w:pStyle w:val="Compact"/>
              <w:jc w:val="left"/>
            </w:pPr>
            <w:r>
              <w:t xml:space="preserve">6 months</w:t>
            </w:r>
          </w:p>
        </w:tc>
        <w:tc>
          <w:tcPr/>
          <w:p>
            <w:pPr>
              <w:pStyle w:val="Compact"/>
              <w:jc w:val="left"/>
            </w:pPr>
            <w:r>
              <w:t xml:space="preserve">Annualized</w:t>
            </w:r>
          </w:p>
        </w:tc>
        <w:tc>
          <w:tcPr/>
          <w:p>
            <w:pPr>
              <w:pStyle w:val="Compact"/>
              <w:jc w:val="left"/>
            </w:pPr>
            <w:r>
              <w:t xml:space="preserve">$6,800.00</w:t>
            </w:r>
          </w:p>
        </w:tc>
      </w:tr>
      <w:tr>
        <w:tc>
          <w:tcPr/>
          <w:p>
            <w:pPr>
              <w:pStyle w:val="Compact"/>
              <w:jc w:val="left"/>
            </w:pPr>
            <w:r>
              <w:t xml:space="preserve">5.0</w:t>
            </w:r>
          </w:p>
        </w:tc>
        <w:tc>
          <w:tcPr/>
          <w:p>
            <w:pPr>
              <w:pStyle w:val="Compact"/>
              <w:jc w:val="left"/>
            </w:pPr>
            <w:r>
              <w:t xml:space="preserve">Publication &amp; Conference Presentation Fees</w:t>
            </w:r>
          </w:p>
        </w:tc>
        <w:tc>
          <w:tcPr/>
          <w:p>
            <w:pPr>
              <w:pStyle w:val="Compact"/>
              <w:jc w:val="left"/>
            </w:pPr>
            <w:r>
              <w:t xml:space="preserve">2 events</w:t>
            </w:r>
          </w:p>
        </w:tc>
        <w:tc>
          <w:tcPr/>
          <w:p>
            <w:pPr>
              <w:pStyle w:val="Compact"/>
              <w:jc w:val="left"/>
            </w:pPr>
            <w:r>
              <w:t xml:space="preserve">Per event</w:t>
            </w:r>
          </w:p>
        </w:tc>
        <w:tc>
          <w:tcPr/>
          <w:p>
            <w:pPr>
              <w:pStyle w:val="Compact"/>
              <w:jc w:val="left"/>
            </w:pPr>
            <w:r>
              <w:t xml:space="preserve">$4,500.00</w:t>
            </w:r>
          </w:p>
        </w:tc>
      </w:tr>
      <w:tr>
        <w:tc>
          <w:tcPr/>
          <w:p>
            <w:pPr>
              <w:pStyle w:val="Compact"/>
              <w:jc w:val="left"/>
            </w:pPr>
            <w:r>
              <w:t xml:space="preserve">6.0</w:t>
            </w:r>
          </w:p>
        </w:tc>
        <w:tc>
          <w:tcPr/>
          <w:p>
            <w:pPr>
              <w:pStyle w:val="Compact"/>
              <w:jc w:val="left"/>
            </w:pPr>
            <w:r>
              <w:t xml:space="preserve">Administrative &amp; Project Management Overhead (12%)</w:t>
            </w:r>
          </w:p>
        </w:tc>
        <w:tc>
          <w:tcPr/>
          <w:p>
            <w:pPr>
              <w:pStyle w:val="Compact"/>
              <w:jc w:val="left"/>
            </w:pPr>
            <w:r>
              <w:t xml:space="preserve">6 months</w:t>
            </w:r>
          </w:p>
        </w:tc>
        <w:tc>
          <w:tcPr/>
          <w:p>
            <w:pPr>
              <w:pStyle w:val="Compact"/>
              <w:jc w:val="left"/>
            </w:pPr>
            <w:r>
              <w:t xml:space="preserve">Percentage</w:t>
            </w:r>
          </w:p>
        </w:tc>
        <w:tc>
          <w:tcPr/>
          <w:p>
            <w:pPr>
              <w:pStyle w:val="Compact"/>
              <w:jc w:val="left"/>
            </w:pPr>
            <w:r>
              <w:t xml:space="preserve">$8,244.00</w:t>
            </w:r>
          </w:p>
        </w:tc>
      </w:tr>
      <w:tr>
        <w:tc>
          <w:tcPr>
            <w:gridSpan w:val="4"/>
          </w:tcPr>
          <w:p>
            <w:pPr>
              <w:pStyle w:val="Compact"/>
              <w:jc w:val="left"/>
            </w:pPr>
            <w:r>
              <w:t xml:space="preserve">Subtotal</w:t>
            </w:r>
          </w:p>
        </w:tc>
        <w:tc>
          <w:tcPr/>
          <w:p>
            <w:pPr>
              <w:pStyle w:val="Compact"/>
              <w:jc w:val="left"/>
            </w:pPr>
            <w:r>
              <w:t xml:space="preserve">$82,444.00</w:t>
            </w:r>
          </w:p>
        </w:tc>
      </w:tr>
      <w:tr>
        <w:tc>
          <w:tcPr>
            <w:gridSpan w:val="4"/>
          </w:tcPr>
          <w:p>
            <w:pPr>
              <w:pStyle w:val="Compact"/>
              <w:jc w:val="left"/>
            </w:pPr>
            <w:r>
              <w:t xml:space="preserve">California Sales &amp; Service Tax (8.5%)</w:t>
            </w:r>
          </w:p>
        </w:tc>
        <w:tc>
          <w:tcPr/>
          <w:p>
            <w:pPr>
              <w:pStyle w:val="Compact"/>
              <w:jc w:val="left"/>
            </w:pPr>
            <w:r>
              <w:t xml:space="preserve">$7,007.74</w:t>
            </w:r>
          </w:p>
        </w:tc>
      </w:tr>
      <w:tr>
        <w:tc>
          <w:tcPr>
            <w:gridSpan w:val="4"/>
          </w:tcPr>
          <w:p>
            <w:pPr>
              <w:pStyle w:val="Compact"/>
              <w:jc w:val="left"/>
            </w:pPr>
            <w:r>
              <w:rPr>
                <w:bCs/>
                <w:b/>
              </w:rPr>
              <w:t xml:space="preserve">TOTAL ESTIMATED COST</w:t>
            </w:r>
          </w:p>
        </w:tc>
        <w:tc>
          <w:tcPr/>
          <w:p>
            <w:pPr>
              <w:pStyle w:val="Compact"/>
              <w:jc w:val="left"/>
            </w:pPr>
            <w:r>
              <w:rPr>
                <w:bCs/>
                <w:b/>
              </w:rPr>
              <w:t xml:space="preserve">$89,451.74</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Physicist</w:t>
      </w:r>
      <w:r>
        <w:t xml:space="preserve"> </w:t>
      </w:r>
      <w:r>
        <w:t xml:space="preserve">engagement outlined in this</w:t>
      </w:r>
      <w:r>
        <w:t xml:space="preserve"> </w:t>
      </w:r>
      <w:r>
        <w:t xml:space="preserve">Quotation Estimate</w:t>
      </w:r>
      <w:r>
        <w:t xml:space="preserve"> </w:t>
      </w:r>
      <w:r>
        <w:t xml:space="preserve">is projected to span a period of six (6) months, commencing on August 1, 2025, and concluding on January 31, 2026. The work will be conducted primarily at the client's laboratory facility in United States San Francisco, with an estimated allocation of 30 hours per week. Milestone deliverables are scheduled for the end of Month 2, Month 4, and Month 6 of the engagement period.</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Upon expiration, all rates and terms must be renegotiated in writing.</w:t>
      </w:r>
    </w:p>
    <w:p>
      <w:pPr>
        <w:numPr>
          <w:ilvl w:val="0"/>
          <w:numId w:val="1002"/>
        </w:numPr>
        <w:pStyle w:val="Compact"/>
      </w:pPr>
      <w:r>
        <w:t xml:space="preserve">Payment terms are Net 30 days from the date of invoice. A 1.5% monthly late fee shall apply to any outstanding balance exceeding the payment window.</w:t>
      </w:r>
    </w:p>
    <w:p>
      <w:pPr>
        <w:numPr>
          <w:ilvl w:val="0"/>
          <w:numId w:val="1002"/>
        </w:numPr>
        <w:pStyle w:val="Compact"/>
      </w:pPr>
      <w:r>
        <w:t xml:space="preserve">The</w:t>
      </w:r>
      <w:r>
        <w:t xml:space="preserve"> </w:t>
      </w:r>
      <w:r>
        <w:t xml:space="preserve">Physicist</w:t>
      </w:r>
      <w:r>
        <w:t xml:space="preserve"> </w:t>
      </w:r>
      <w:r>
        <w:t xml:space="preserve">engaged under this agreement shall maintain full professional liability insurance with a minimum coverage of $2,000,000 per occurrence, as required by California Business and Professions Code.</w:t>
      </w:r>
    </w:p>
    <w:p>
      <w:pPr>
        <w:numPr>
          <w:ilvl w:val="0"/>
          <w:numId w:val="1002"/>
        </w:numPr>
        <w:pStyle w:val="Compact"/>
      </w:pPr>
      <w:r>
        <w:t xml:space="preserve">All intellectual property developed specifically for the client during the term of this engagement shall be the sole property of Horizon Semiconductor Research Group, Inc., unless otherwise stipulated in a separate IP assignment agreement.</w:t>
      </w:r>
    </w:p>
    <w:p>
      <w:pPr>
        <w:numPr>
          <w:ilvl w:val="0"/>
          <w:numId w:val="1002"/>
        </w:numPr>
        <w:pStyle w:val="Compact"/>
      </w:pPr>
      <w:r>
        <w:t xml:space="preserve">Either party may terminate this engagement with thirty (30) days written notice. In the event of early termination, the client shall be liable for all fees accrued through the termination date plus a 10% cancellation surcharge.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executed in writing by authorized representatives of both parties.</w:t>
      </w:r>
    </w:p>
    <w:p>
      <w:pPr>
        <w:numPr>
          <w:ilvl w:val="0"/>
          <w:numId w:val="1002"/>
        </w:numPr>
        <w:pStyle w:val="Compact"/>
      </w:pPr>
      <w:r>
        <w:t xml:space="preserve">All disputes arising from this engagement shall be resolved through binding arbitration in San Francisco, California, in accordance with the rules of the American Arbitration Association.</w:t>
      </w:r>
    </w:p>
    <w:p>
      <w:pPr>
        <w:numPr>
          <w:ilvl w:val="0"/>
          <w:numId w:val="1002"/>
        </w:numPr>
        <w:pStyle w:val="Compact"/>
      </w:pPr>
      <w:r>
        <w:t xml:space="preserve">The</w:t>
      </w:r>
      <w:r>
        <w:t xml:space="preserve"> </w:t>
      </w:r>
      <w:r>
        <w:t xml:space="preserve">Physicist</w:t>
      </w:r>
      <w:r>
        <w:t xml:space="preserve"> </w:t>
      </w:r>
      <w:r>
        <w:t xml:space="preserve">shall comply with all applicable federal, state, and local regulations governing scientific research, data handling, and professional conduct within the United States and the State of California.</w:t>
      </w:r>
    </w:p>
    <w:p>
      <w:pPr>
        <w:numPr>
          <w:ilvl w:val="0"/>
          <w:numId w:val="1002"/>
        </w:numPr>
        <w:pStyle w:val="Compact"/>
      </w:pPr>
      <w:r>
        <w:t xml:space="preserve">Confidentiality obligations as defined in the mutual Non-Disclosure Agreement (NDA) executed on May 20, 2025, shall remain in full force and effect throughout and for two (2) years following the conclusion of this engagement.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Physicist</w:t>
      </w:r>
      <w:r>
        <w:t xml:space="preserve"> </w:t>
      </w:r>
      <w:r>
        <w:t xml:space="preserve">in United States San Francisco. This document, once countersigned, shall serve as the formal basis for the subsequent execution of a definitive Service Agreement.</w:t>
      </w:r>
    </w:p>
    <w:bookmarkEnd w:id="26"/>
    <w:p>
      <w:pPr>
        <w:pStyle w:val="BodyText"/>
      </w:pPr>
      <w:r>
        <w:rPr>
          <w:bCs/>
          <w:b/>
        </w:rPr>
        <w:t xml:space="preserve">For Pacific Bay Physics Consulting LLC:</w:t>
      </w:r>
    </w:p>
    <w:p>
      <w:pPr>
        <w:pStyle w:val="BodyText"/>
      </w:pPr>
      <w:r>
        <w:t xml:space="preserve">Dr. Elena Vasquez, Ph.D.</w:t>
      </w:r>
      <w:r>
        <w:br/>
      </w:r>
      <w:r>
        <w:t xml:space="preserve">Principal &amp; Lead Physicist</w:t>
      </w:r>
      <w:r>
        <w:br/>
      </w:r>
      <w:r>
        <w:t xml:space="preserve">Date: _______________</w:t>
      </w:r>
    </w:p>
    <w:p>
      <w:pPr>
        <w:pStyle w:val="BodyText"/>
      </w:pPr>
      <w:r>
        <w:rPr>
          <w:bCs/>
          <w:b/>
        </w:rPr>
        <w:t xml:space="preserve">For Horizon Semiconductor Research Group, Inc.:</w:t>
      </w:r>
    </w:p>
    <w:p>
      <w:pPr>
        <w:pStyle w:val="BodyText"/>
      </w:pPr>
      <w:r>
        <w:t xml:space="preserve">Mr. David Chen</w:t>
      </w:r>
      <w:r>
        <w:br/>
      </w:r>
      <w:r>
        <w:t xml:space="preserve">Director of Applied Sciences</w:t>
      </w:r>
      <w:r>
        <w:br/>
      </w:r>
      <w:r>
        <w:t xml:space="preserve">Date: _______________</w:t>
      </w:r>
    </w:p>
    <w:p>
      <w:pPr>
        <w:pStyle w:val="BodyText"/>
      </w:pPr>
      <w:r>
        <w:t xml:space="preserve">Pacific Bay Physics Consulting LLC • 1200 Market Street, Suite 450, San Francisco, CA 94102, United States</w:t>
      </w:r>
      <w:r>
        <w:br/>
      </w:r>
      <w:r>
        <w:t xml:space="preserve">Phone: (415) 555-0198 • Email: quotes@pacificbayphysics.com • CA Contractor License #C-104872</w:t>
      </w:r>
      <w:r>
        <w:br/>
      </w:r>
      <w:r>
        <w:t xml:space="preserve">This Quotation Estimate is the property of Pacific Bay Physics Consulting LLC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United States San Francisco</dc:title>
  <dc:creator/>
  <dc:language>en</dc:language>
  <cp:keywords/>
  <dcterms:created xsi:type="dcterms:W3CDTF">2026-10-10T02:57:34Z</dcterms:created>
  <dcterms:modified xsi:type="dcterms:W3CDTF">2026-10-10T02:57:34Z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