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Police Officer Services — France Paris</w:t>
      </w:r>
    </w:p>
    <w:p>
      <w:pPr>
        <w:pStyle w:val="BodyText"/>
      </w:pPr>
      <w:r>
        <w:t xml:space="preserve">Société de Sécurité Publique &amp; Services Spécialisés</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QTE-2025-FR-PA-04872</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By:</w:t>
            </w:r>
          </w:p>
        </w:tc>
        <w:tc>
          <w:tcPr/>
          <w:p>
            <w:pPr>
              <w:pStyle w:val="Compact"/>
              <w:jc w:val="left"/>
            </w:pPr>
            <w:r>
              <w:t xml:space="preserve">Direction des Opérations — France Paris Division</w:t>
            </w:r>
          </w:p>
        </w:tc>
      </w:tr>
      <w:tr>
        <w:tc>
          <w:tcPr/>
          <w:p>
            <w:pPr>
              <w:pStyle w:val="Compact"/>
              <w:jc w:val="left"/>
            </w:pPr>
            <w:r>
              <w:t xml:space="preserve">Client / Requesting Authority:</w:t>
            </w:r>
          </w:p>
        </w:tc>
        <w:tc>
          <w:tcPr/>
          <w:p>
            <w:pPr>
              <w:pStyle w:val="Compact"/>
              <w:jc w:val="left"/>
            </w:pPr>
            <w:r>
              <w:t xml:space="preserve">Préfecture de Police de Paris, 14 Place de l’Hôtel de Ville, 75004 Paris, France</w:t>
            </w:r>
          </w:p>
        </w:tc>
      </w:tr>
      <w:tr>
        <w:tc>
          <w:tcPr/>
          <w:p>
            <w:pPr>
              <w:pStyle w:val="Compact"/>
              <w:jc w:val="left"/>
            </w:pPr>
            <w:r>
              <w:t xml:space="preserve">Service Location:</w:t>
            </w:r>
          </w:p>
        </w:tc>
        <w:tc>
          <w:tcPr/>
          <w:p>
            <w:pPr>
              <w:pStyle w:val="Compact"/>
              <w:jc w:val="left"/>
            </w:pPr>
            <w:r>
              <w:t xml:space="preserve">France Paris — All 20 arrondissements, with primary deployment in the 1st, 2nd, 7th, and 11th arrondissements</w:t>
            </w:r>
          </w:p>
        </w:tc>
      </w:tr>
      <w:tr>
        <w:tc>
          <w:tcPr/>
          <w:p>
            <w:pPr>
              <w:pStyle w:val="Compact"/>
              <w:jc w:val="left"/>
            </w:pPr>
            <w:r>
              <w:t xml:space="preserve">Currency:</w:t>
            </w:r>
          </w:p>
        </w:tc>
        <w:tc>
          <w:tcPr/>
          <w:p>
            <w:pPr>
              <w:pStyle w:val="Compact"/>
              <w:jc w:val="left"/>
            </w:pPr>
            <w:r>
              <w:t xml:space="preserve">Euro (EUR) — All amounts exclusive of TVA (20%)</w:t>
            </w:r>
          </w:p>
        </w:tc>
      </w:tr>
    </w:tbl>
    <w:bookmarkStart w:id="21" w:name="X0c7581080508d578c26b6d8dfd726c7e3ca5cc9"/>
    <w:p>
      <w:pPr>
        <w:pStyle w:val="Heading2"/>
      </w:pPr>
      <w:r>
        <w:t xml:space="preserve">1. Purpose and Scope of This Quotation Estimate</w:t>
      </w:r>
    </w:p>
    <w:p>
      <w:pPr>
        <w:pStyle w:val="FirstParagraph"/>
      </w:pPr>
      <w:r>
        <w:t xml:space="preserve">This</w:t>
      </w:r>
      <w:r>
        <w:t xml:space="preserve"> </w:t>
      </w:r>
      <w:r>
        <w:t xml:space="preserve">Quotation Estimate</w:t>
      </w:r>
      <w:r>
        <w:t xml:space="preserve"> </w:t>
      </w:r>
      <w:r>
        <w:t xml:space="preserve">is issued in response to the formal request for proposal (RFP) reference PP-2025-SEC-114, submitted by the Préfecture de Police de Paris. The purpose of this document is to provide a comprehensive, itemized cost breakdown for the recruitment, deployment, and ongoing operational support of qualified</w:t>
      </w:r>
      <w:r>
        <w:t xml:space="preserve"> </w:t>
      </w:r>
      <w:r>
        <w:t xml:space="preserve">Police Officer</w:t>
      </w:r>
      <w:r>
        <w:t xml:space="preserve"> </w:t>
      </w:r>
      <w:r>
        <w:t xml:space="preserve">personnel within the jurisdiction of</w:t>
      </w:r>
      <w:r>
        <w:t xml:space="preserve"> </w:t>
      </w:r>
      <w:r>
        <w:t xml:space="preserve">France Paris</w:t>
      </w:r>
      <w:r>
        <w:t xml:space="preserve">. The services described herein are designed to augment existing public safety operations, support crowd management during major events, and ensure continuous patrol coverage across designated zones in the capital city.</w:t>
      </w:r>
    </w:p>
    <w:p>
      <w:pPr>
        <w:pStyle w:val="BodyText"/>
      </w:pPr>
      <w:r>
        <w:t xml:space="preserve">All</w:t>
      </w:r>
      <w:r>
        <w:t xml:space="preserve"> </w:t>
      </w:r>
      <w:r>
        <w:t xml:space="preserve">Police Officer</w:t>
      </w:r>
      <w:r>
        <w:t xml:space="preserve"> </w:t>
      </w:r>
      <w:r>
        <w:t xml:space="preserve">candidates proposed under this</w:t>
      </w:r>
      <w:r>
        <w:t xml:space="preserve"> </w:t>
      </w:r>
      <w:r>
        <w:t xml:space="preserve">Quotation Estimate</w:t>
      </w:r>
      <w:r>
        <w:t xml:space="preserve"> </w:t>
      </w:r>
      <w:r>
        <w:t xml:space="preserve">shall hold a valid national authorization (Carte Professionnelle) issued by the Préfecture de Police, possess a minimum of five (5) years of verified service experience within the French public security apparatus, and demonstrate full proficiency in the operational protocols governing law enforcement activities in</w:t>
      </w:r>
      <w:r>
        <w:t xml:space="preserve"> </w:t>
      </w:r>
      <w:r>
        <w:t xml:space="preserve">France Paris</w:t>
      </w:r>
      <w:r>
        <w:t xml:space="preserve">.</w:t>
      </w:r>
    </w:p>
    <w:bookmarkEnd w:id="21"/>
    <w:bookmarkStart w:id="22" w:name="itemized-cost-breakdown"/>
    <w:p>
      <w:pPr>
        <w:pStyle w:val="Heading2"/>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 / Item</w:t>
            </w:r>
          </w:p>
        </w:tc>
        <w:tc>
          <w:tcPr/>
          <w:p>
            <w:pPr>
              <w:pStyle w:val="Compact"/>
              <w:jc w:val="left"/>
            </w:pPr>
            <w:r>
              <w:t xml:space="preserve">Quantity</w:t>
            </w:r>
          </w:p>
        </w:tc>
        <w:tc>
          <w:tcPr/>
          <w:p>
            <w:pPr>
              <w:pStyle w:val="Compact"/>
              <w:jc w:val="left"/>
            </w:pPr>
            <w:r>
              <w:t xml:space="preserve">Unit Cost (EUR)</w:t>
            </w:r>
          </w:p>
        </w:tc>
        <w:tc>
          <w:tcPr/>
          <w:p>
            <w:pPr>
              <w:pStyle w:val="Compact"/>
              <w:jc w:val="left"/>
            </w:pPr>
            <w:r>
              <w:t xml:space="preserve">Subtotal (EUR)</w:t>
            </w:r>
          </w:p>
        </w:tc>
      </w:tr>
      <w:tr>
        <w:tc>
          <w:tcPr/>
          <w:p>
            <w:pPr>
              <w:pStyle w:val="Compact"/>
              <w:jc w:val="left"/>
            </w:pPr>
            <w:r>
              <w:t xml:space="preserve">2.1</w:t>
            </w:r>
          </w:p>
        </w:tc>
        <w:tc>
          <w:tcPr/>
          <w:p>
            <w:pPr>
              <w:pStyle w:val="Compact"/>
              <w:jc w:val="left"/>
            </w:pPr>
            <w:r>
              <w:t xml:space="preserve">Recruitment, vetting, and administrative onboarding of Police Officer personnel (background checks, medical certification, legal compliance review for France Paris jurisdiction)</w:t>
            </w:r>
          </w:p>
        </w:tc>
        <w:tc>
          <w:tcPr/>
          <w:p>
            <w:pPr>
              <w:pStyle w:val="Compact"/>
              <w:jc w:val="left"/>
            </w:pPr>
            <w:r>
              <w:t xml:space="preserve">24 officers</w:t>
            </w:r>
          </w:p>
        </w:tc>
        <w:tc>
          <w:tcPr/>
          <w:p>
            <w:pPr>
              <w:pStyle w:val="Compact"/>
              <w:jc w:val="left"/>
            </w:pPr>
            <w:r>
              <w:t xml:space="preserve">1,850.00</w:t>
            </w:r>
          </w:p>
        </w:tc>
        <w:tc>
          <w:tcPr/>
          <w:p>
            <w:pPr>
              <w:pStyle w:val="Compact"/>
              <w:jc w:val="left"/>
            </w:pPr>
            <w:r>
              <w:t xml:space="preserve">44,400.00</w:t>
            </w:r>
          </w:p>
        </w:tc>
      </w:tr>
      <w:tr>
        <w:tc>
          <w:tcPr/>
          <w:p>
            <w:pPr>
              <w:pStyle w:val="Compact"/>
              <w:jc w:val="left"/>
            </w:pPr>
            <w:r>
              <w:t xml:space="preserve">2.2</w:t>
            </w:r>
          </w:p>
        </w:tc>
        <w:tc>
          <w:tcPr/>
          <w:p>
            <w:pPr>
              <w:pStyle w:val="Compact"/>
              <w:jc w:val="left"/>
            </w:pPr>
            <w:r>
              <w:t xml:space="preserve">Monthly operational salary and statutory social contributions per Police Officer (including 13th-month bonus, overtime provisions, and night-shift differentials applicable in France Paris)</w:t>
            </w:r>
          </w:p>
        </w:tc>
        <w:tc>
          <w:tcPr/>
          <w:p>
            <w:pPr>
              <w:pStyle w:val="Compact"/>
              <w:jc w:val="left"/>
            </w:pPr>
            <w:r>
              <w:t xml:space="preserve">24 officers × 12 months</w:t>
            </w:r>
          </w:p>
        </w:tc>
        <w:tc>
          <w:tcPr/>
          <w:p>
            <w:pPr>
              <w:pStyle w:val="Compact"/>
              <w:jc w:val="left"/>
            </w:pPr>
            <w:r>
              <w:t xml:space="preserve">3,200.00</w:t>
            </w:r>
          </w:p>
        </w:tc>
        <w:tc>
          <w:tcPr/>
          <w:p>
            <w:pPr>
              <w:pStyle w:val="Compact"/>
              <w:jc w:val="left"/>
            </w:pPr>
            <w:r>
              <w:t xml:space="preserve">921,600.00</w:t>
            </w:r>
          </w:p>
        </w:tc>
      </w:tr>
      <w:tr>
        <w:tc>
          <w:tcPr/>
          <w:p>
            <w:pPr>
              <w:pStyle w:val="Compact"/>
              <w:jc w:val="left"/>
            </w:pPr>
            <w:r>
              <w:t xml:space="preserve">2.3</w:t>
            </w:r>
          </w:p>
        </w:tc>
        <w:tc>
          <w:tcPr/>
          <w:p>
            <w:pPr>
              <w:pStyle w:val="Compact"/>
              <w:jc w:val="left"/>
            </w:pPr>
            <w:r>
              <w:t xml:space="preserve">Standard Police Officer uniform, protective equipment (body armor, tactical vest, communication headset), and issued sidearm with annual maintenance contract</w:t>
            </w:r>
          </w:p>
        </w:tc>
        <w:tc>
          <w:tcPr/>
          <w:p>
            <w:pPr>
              <w:pStyle w:val="Compact"/>
              <w:jc w:val="left"/>
            </w:pPr>
            <w:r>
              <w:t xml:space="preserve">24 sets</w:t>
            </w:r>
          </w:p>
        </w:tc>
        <w:tc>
          <w:tcPr/>
          <w:p>
            <w:pPr>
              <w:pStyle w:val="Compact"/>
              <w:jc w:val="left"/>
            </w:pPr>
            <w:r>
              <w:t xml:space="preserve">2,400.00</w:t>
            </w:r>
          </w:p>
        </w:tc>
        <w:tc>
          <w:tcPr/>
          <w:p>
            <w:pPr>
              <w:pStyle w:val="Compact"/>
              <w:jc w:val="left"/>
            </w:pPr>
            <w:r>
              <w:t xml:space="preserve">57,600.00</w:t>
            </w:r>
          </w:p>
        </w:tc>
      </w:tr>
      <w:tr>
        <w:tc>
          <w:tcPr/>
          <w:p>
            <w:pPr>
              <w:pStyle w:val="Compact"/>
              <w:jc w:val="left"/>
            </w:pPr>
            <w:r>
              <w:t xml:space="preserve">2.4</w:t>
            </w:r>
          </w:p>
        </w:tc>
        <w:tc>
          <w:tcPr/>
          <w:p>
            <w:pPr>
              <w:pStyle w:val="Compact"/>
              <w:jc w:val="left"/>
            </w:pPr>
            <w:r>
              <w:t xml:space="preserve">Patrol vehicle allocation (4-door sedan, GPS-tracked, equipped with in-car recording system compliant with French data protection regulations)</w:t>
            </w:r>
          </w:p>
        </w:tc>
        <w:tc>
          <w:tcPr/>
          <w:p>
            <w:pPr>
              <w:pStyle w:val="Compact"/>
              <w:jc w:val="left"/>
            </w:pPr>
            <w:r>
              <w:t xml:space="preserve">6 vehicles × 12 months</w:t>
            </w:r>
          </w:p>
        </w:tc>
        <w:tc>
          <w:tcPr/>
          <w:p>
            <w:pPr>
              <w:pStyle w:val="Compact"/>
              <w:jc w:val="left"/>
            </w:pPr>
            <w:r>
              <w:t xml:space="preserve">1,150.00</w:t>
            </w:r>
          </w:p>
        </w:tc>
        <w:tc>
          <w:tcPr/>
          <w:p>
            <w:pPr>
              <w:pStyle w:val="Compact"/>
              <w:jc w:val="left"/>
            </w:pPr>
            <w:r>
              <w:t xml:space="preserve">82,800.00</w:t>
            </w:r>
          </w:p>
        </w:tc>
      </w:tr>
      <w:tr>
        <w:tc>
          <w:tcPr/>
          <w:p>
            <w:pPr>
              <w:pStyle w:val="Compact"/>
              <w:jc w:val="left"/>
            </w:pPr>
            <w:r>
              <w:t xml:space="preserve">2.5</w:t>
            </w:r>
          </w:p>
        </w:tc>
        <w:tc>
          <w:tcPr/>
          <w:p>
            <w:pPr>
              <w:pStyle w:val="Compact"/>
              <w:jc w:val="left"/>
            </w:pPr>
            <w:r>
              <w:t xml:space="preserve">Specialized training programme: urban crowd management, de-escalation techniques, and emergency response protocols specific to the metropolitan area of France Paris</w:t>
            </w:r>
          </w:p>
        </w:tc>
        <w:tc>
          <w:tcPr/>
          <w:p>
            <w:pPr>
              <w:pStyle w:val="Compact"/>
              <w:jc w:val="left"/>
            </w:pPr>
            <w:r>
              <w:t xml:space="preserve">24 officers</w:t>
            </w:r>
          </w:p>
        </w:tc>
        <w:tc>
          <w:tcPr/>
          <w:p>
            <w:pPr>
              <w:pStyle w:val="Compact"/>
              <w:jc w:val="left"/>
            </w:pPr>
            <w:r>
              <w:t xml:space="preserve">3,500.00</w:t>
            </w:r>
          </w:p>
        </w:tc>
        <w:tc>
          <w:tcPr/>
          <w:p>
            <w:pPr>
              <w:pStyle w:val="Compact"/>
              <w:jc w:val="left"/>
            </w:pPr>
            <w:r>
              <w:t xml:space="preserve">84,000.00</w:t>
            </w:r>
          </w:p>
        </w:tc>
      </w:tr>
      <w:tr>
        <w:tc>
          <w:tcPr/>
          <w:p>
            <w:pPr>
              <w:pStyle w:val="Compact"/>
              <w:jc w:val="left"/>
            </w:pPr>
            <w:r>
              <w:t xml:space="preserve">2.6</w:t>
            </w:r>
          </w:p>
        </w:tc>
        <w:tc>
          <w:tcPr/>
          <w:p>
            <w:pPr>
              <w:pStyle w:val="Compact"/>
              <w:jc w:val="left"/>
            </w:pPr>
            <w:r>
              <w:t xml:space="preserve">Operational command and coordination centre access (24/7 monitoring, radio dispatch, and real-time incident reporting system for all Police Officer units deployed in France Paris)</w:t>
            </w:r>
          </w:p>
        </w:tc>
        <w:tc>
          <w:tcPr/>
          <w:p>
            <w:pPr>
              <w:pStyle w:val="Compact"/>
              <w:jc w:val="left"/>
            </w:pPr>
            <w:r>
              <w:t xml:space="preserve">12 months</w:t>
            </w:r>
          </w:p>
        </w:tc>
        <w:tc>
          <w:tcPr/>
          <w:p>
            <w:pPr>
              <w:pStyle w:val="Compact"/>
              <w:jc w:val="left"/>
            </w:pPr>
            <w:r>
              <w:t xml:space="preserve">4,800.00</w:t>
            </w:r>
          </w:p>
        </w:tc>
        <w:tc>
          <w:tcPr/>
          <w:p>
            <w:pPr>
              <w:pStyle w:val="Compact"/>
              <w:jc w:val="left"/>
            </w:pPr>
            <w:r>
              <w:t xml:space="preserve">57,600.00</w:t>
            </w:r>
          </w:p>
        </w:tc>
      </w:tr>
      <w:tr>
        <w:tc>
          <w:tcPr/>
          <w:p>
            <w:pPr>
              <w:pStyle w:val="Compact"/>
              <w:jc w:val="left"/>
            </w:pPr>
            <w:r>
              <w:t xml:space="preserve">2.7</w:t>
            </w:r>
          </w:p>
        </w:tc>
        <w:tc>
          <w:tcPr/>
          <w:p>
            <w:pPr>
              <w:pStyle w:val="Compact"/>
              <w:jc w:val="left"/>
            </w:pPr>
            <w:r>
              <w:t xml:space="preserve">Liability insurance and professional indemnity coverage for all Police Officer personnel operating under this contract within France Paris</w:t>
            </w:r>
          </w:p>
        </w:tc>
        <w:tc>
          <w:tcPr/>
          <w:p>
            <w:pPr>
              <w:pStyle w:val="Compact"/>
              <w:jc w:val="left"/>
            </w:pPr>
            <w:r>
              <w:t xml:space="preserve">12 months</w:t>
            </w:r>
          </w:p>
        </w:tc>
        <w:tc>
          <w:tcPr/>
          <w:p>
            <w:pPr>
              <w:pStyle w:val="Compact"/>
              <w:jc w:val="left"/>
            </w:pPr>
            <w:r>
              <w:t xml:space="preserve">6,200.00</w:t>
            </w:r>
          </w:p>
        </w:tc>
        <w:tc>
          <w:tcPr/>
          <w:p>
            <w:pPr>
              <w:pStyle w:val="Compact"/>
              <w:jc w:val="left"/>
            </w:pPr>
            <w:r>
              <w:t xml:space="preserve">74,400.00</w:t>
            </w:r>
          </w:p>
        </w:tc>
      </w:tr>
      <w:tr>
        <w:tc>
          <w:tcPr/>
          <w:p>
            <w:pPr>
              <w:pStyle w:val="Compact"/>
              <w:jc w:val="left"/>
            </w:pPr>
            <w:r>
              <w:t xml:space="preserve">2.8</w:t>
            </w:r>
          </w:p>
        </w:tc>
        <w:tc>
          <w:tcPr/>
          <w:p>
            <w:pPr>
              <w:pStyle w:val="Compact"/>
              <w:jc w:val="left"/>
            </w:pPr>
            <w:r>
              <w:t xml:space="preserve">Administrative supervision, monthly reporting, and compliance auditing by a dedicated project manager assigned to the France Paris deployment</w:t>
            </w:r>
          </w:p>
        </w:tc>
        <w:tc>
          <w:tcPr/>
          <w:p>
            <w:pPr>
              <w:pStyle w:val="Compact"/>
              <w:jc w:val="left"/>
            </w:pPr>
            <w:r>
              <w:t xml:space="preserve">12 months</w:t>
            </w:r>
          </w:p>
        </w:tc>
        <w:tc>
          <w:tcPr/>
          <w:p>
            <w:pPr>
              <w:pStyle w:val="Compact"/>
              <w:jc w:val="left"/>
            </w:pPr>
            <w:r>
              <w:t xml:space="preserve">5,500.00</w:t>
            </w:r>
          </w:p>
        </w:tc>
        <w:tc>
          <w:tcPr/>
          <w:p>
            <w:pPr>
              <w:pStyle w:val="Compact"/>
              <w:jc w:val="left"/>
            </w:pPr>
            <w:r>
              <w:t xml:space="preserve">66,000.00</w:t>
            </w:r>
          </w:p>
        </w:tc>
      </w:tr>
      <w:tr>
        <w:tc>
          <w:tcPr>
            <w:gridSpan w:val="4"/>
          </w:tcPr>
          <w:p>
            <w:pPr>
              <w:pStyle w:val="Compact"/>
              <w:jc w:val="left"/>
            </w:pPr>
            <w:r>
              <w:t xml:space="preserve">Subtotal (before TVA)</w:t>
            </w:r>
          </w:p>
        </w:tc>
        <w:tc>
          <w:tcPr/>
          <w:p>
            <w:pPr>
              <w:pStyle w:val="Compact"/>
              <w:jc w:val="left"/>
            </w:pPr>
            <w:r>
              <w:t xml:space="preserve">1,388,400.00</w:t>
            </w:r>
          </w:p>
        </w:tc>
      </w:tr>
      <w:tr>
        <w:tc>
          <w:tcPr>
            <w:gridSpan w:val="4"/>
          </w:tcPr>
          <w:p>
            <w:pPr>
              <w:pStyle w:val="Compact"/>
              <w:jc w:val="left"/>
            </w:pPr>
            <w:r>
              <w:t xml:space="preserve">TVA (20%)</w:t>
            </w:r>
          </w:p>
        </w:tc>
        <w:tc>
          <w:tcPr/>
          <w:p>
            <w:pPr>
              <w:pStyle w:val="Compact"/>
              <w:jc w:val="left"/>
            </w:pPr>
            <w:r>
              <w:t xml:space="preserve">277,680.00</w:t>
            </w:r>
          </w:p>
        </w:tc>
      </w:tr>
      <w:tr>
        <w:tc>
          <w:tcPr>
            <w:gridSpan w:val="4"/>
          </w:tcPr>
          <w:p>
            <w:pPr>
              <w:pStyle w:val="Compact"/>
              <w:jc w:val="left"/>
            </w:pPr>
            <w:r>
              <w:t xml:space="preserve">TOTAL AMOUNT DUE (EUR)</w:t>
            </w:r>
          </w:p>
        </w:tc>
        <w:tc>
          <w:tcPr/>
          <w:p>
            <w:pPr>
              <w:pStyle w:val="Compact"/>
              <w:jc w:val="left"/>
            </w:pPr>
            <w:r>
              <w:t xml:space="preserve">1,666,080.00</w:t>
            </w:r>
          </w:p>
        </w:tc>
      </w:tr>
    </w:tbl>
    <w:bookmarkEnd w:id="22"/>
    <w:bookmarkStart w:id="23" w:name="deployment-and-operational-parameters"/>
    <w:p>
      <w:pPr>
        <w:pStyle w:val="Heading2"/>
      </w:pPr>
      <w:r>
        <w:t xml:space="preserve">3. Deployment and Operational Parameters</w:t>
      </w:r>
    </w:p>
    <w:p>
      <w:pPr>
        <w:pStyle w:val="FirstParagraph"/>
      </w:pPr>
      <w:r>
        <w:t xml:space="preserve">Each</w:t>
      </w:r>
      <w:r>
        <w:t xml:space="preserve"> </w:t>
      </w:r>
      <w:r>
        <w:t xml:space="preserve">Police Officer</w:t>
      </w:r>
      <w:r>
        <w:t xml:space="preserve"> </w:t>
      </w:r>
      <w:r>
        <w:t xml:space="preserve">assigned under this</w:t>
      </w:r>
      <w:r>
        <w:t xml:space="preserve"> </w:t>
      </w:r>
      <w:r>
        <w:t xml:space="preserve">Quotation Estimate</w:t>
      </w:r>
      <w:r>
        <w:t xml:space="preserve"> </w:t>
      </w:r>
      <w:r>
        <w:t xml:space="preserve">shall operate in shifts of eight (8) hours, with a minimum of three (3) officers per patrol unit at all times. The deployment schedule shall be structured to ensure uninterrupted coverage across all priority zones in</w:t>
      </w:r>
      <w:r>
        <w:t xml:space="preserve"> </w:t>
      </w:r>
      <w:r>
        <w:t xml:space="preserve">France Paris</w:t>
      </w:r>
      <w:r>
        <w:t xml:space="preserve">, including but not limited to the Champs-Élysées corridor, the Gare du Nord transport hub, the Île de la Cité heritage district, and the major commercial arteries of the 11th and 12th arrondissements. During periods of heightened public activity, such as national holidays, international sporting events, or state ceremonies, the</w:t>
      </w:r>
      <w:r>
        <w:t xml:space="preserve"> </w:t>
      </w:r>
      <w:r>
        <w:t xml:space="preserve">Police Officer</w:t>
      </w:r>
      <w:r>
        <w:t xml:space="preserve"> </w:t>
      </w:r>
      <w:r>
        <w:t xml:space="preserve">complement may be temporarily increased by up to forty percent (40%) at a pro-rated cost as detailed in Annex B of this</w:t>
      </w:r>
      <w:r>
        <w:t xml:space="preserve"> </w:t>
      </w:r>
      <w:r>
        <w:t xml:space="preserve">Quotation Estimate</w:t>
      </w:r>
      <w:r>
        <w:t xml:space="preserve">.</w:t>
      </w:r>
    </w:p>
    <w:bookmarkEnd w:id="23"/>
    <w:bookmarkStart w:id="24" w:name="terms-and-conditions"/>
    <w:p>
      <w:pPr>
        <w:pStyle w:val="Heading2"/>
      </w:pPr>
      <w:r>
        <w:t xml:space="preserve">4. Terms and Conditions</w:t>
      </w:r>
    </w:p>
    <w:p>
      <w:pPr>
        <w:numPr>
          <w:ilvl w:val="0"/>
          <w:numId w:val="1001"/>
        </w:numPr>
        <w:pStyle w:val="Compact"/>
      </w:pPr>
      <w:r>
        <w:rPr>
          <w:bCs/>
          <w:b/>
        </w:rPr>
        <w:t xml:space="preserve">Validity:</w:t>
      </w:r>
      <w:r>
        <w:t xml:space="preserve"> </w:t>
      </w:r>
      <w:r>
        <w:t xml:space="preserve">This</w:t>
      </w:r>
      <w:r>
        <w:t xml:space="preserve"> </w:t>
      </w:r>
      <w:r>
        <w:t xml:space="preserve">Quotation Estimate</w:t>
      </w:r>
      <w:r>
        <w:t xml:space="preserve"> </w:t>
      </w:r>
      <w:r>
        <w:t xml:space="preserve">remains valid for a period of ninety (90) calendar days from the date of issue. Any acceptance beyond this period requires written reconfirmation of all pricing and availability terms.</w:t>
      </w:r>
    </w:p>
    <w:p>
      <w:pPr>
        <w:numPr>
          <w:ilvl w:val="0"/>
          <w:numId w:val="1001"/>
        </w:numPr>
        <w:pStyle w:val="Compact"/>
      </w:pPr>
      <w:r>
        <w:rPr>
          <w:bCs/>
          <w:b/>
        </w:rPr>
        <w:t xml:space="preserve">Payment Terms:</w:t>
      </w:r>
      <w:r>
        <w:t xml:space="preserve"> </w:t>
      </w:r>
      <w:r>
        <w:t xml:space="preserve">Invoices shall be issued monthly in arrears. Payment is due within thirty (30) days of invoice date via bank transfer to the account designated in the contract annex. Late payments shall incur interest at the rate prescribed by Article L441-10 of the French Commercial Code.</w:t>
      </w:r>
    </w:p>
    <w:p>
      <w:pPr>
        <w:numPr>
          <w:ilvl w:val="0"/>
          <w:numId w:val="1001"/>
        </w:numPr>
        <w:pStyle w:val="Compact"/>
      </w:pPr>
      <w:r>
        <w:rPr>
          <w:bCs/>
          <w:b/>
        </w:rPr>
        <w:t xml:space="preserve">Compliance:</w:t>
      </w:r>
      <w:r>
        <w:t xml:space="preserve"> </w:t>
      </w:r>
      <w:r>
        <w:t xml:space="preserve">All</w:t>
      </w:r>
      <w:r>
        <w:t xml:space="preserve"> </w:t>
      </w:r>
      <w:r>
        <w:t xml:space="preserve">Police Officer</w:t>
      </w:r>
      <w:r>
        <w:t xml:space="preserve"> </w:t>
      </w:r>
      <w:r>
        <w:t xml:space="preserve">personnel shall operate in strict accordance with the French Code of Internal Security (Code de la sécurité intérieure), the General Code of Territorial Collectivities, and all applicable municipal regulations governing public order in</w:t>
      </w:r>
      <w:r>
        <w:t xml:space="preserve"> </w:t>
      </w:r>
      <w:r>
        <w:t xml:space="preserve">France Paris</w:t>
      </w:r>
      <w:r>
        <w:t xml:space="preserve">.</w:t>
      </w:r>
    </w:p>
    <w:p>
      <w:pPr>
        <w:numPr>
          <w:ilvl w:val="0"/>
          <w:numId w:val="1001"/>
        </w:numPr>
        <w:pStyle w:val="Compact"/>
      </w:pPr>
      <w:r>
        <w:rPr>
          <w:bCs/>
          <w:b/>
        </w:rPr>
        <w:t xml:space="preserve">Confidentiality:</w:t>
      </w:r>
      <w:r>
        <w:t xml:space="preserve"> </w:t>
      </w:r>
      <w:r>
        <w:t xml:space="preserve">All operational data, incident reports, and personnel records generated under this engagement shall be treated as classified and handled in compliance with the French Data Protection Act (Loi Informatique et Libertés) and the GDPR as applied in France.</w:t>
      </w:r>
    </w:p>
    <w:p>
      <w:pPr>
        <w:numPr>
          <w:ilvl w:val="0"/>
          <w:numId w:val="1001"/>
        </w:numPr>
        <w:pStyle w:val="Compact"/>
      </w:pPr>
      <w:r>
        <w:rPr>
          <w:bCs/>
          <w:b/>
        </w:rPr>
        <w:t xml:space="preserve">Termination:</w:t>
      </w:r>
      <w:r>
        <w:t xml:space="preserve"> </w:t>
      </w:r>
      <w:r>
        <w:t xml:space="preserve">Either party may terminate the contract with a written notice period of sixty (60) days. In the event of termination, all</w:t>
      </w:r>
      <w:r>
        <w:t xml:space="preserve"> </w:t>
      </w:r>
      <w:r>
        <w:t xml:space="preserve">Police Officer</w:t>
      </w:r>
      <w:r>
        <w:t xml:space="preserve"> </w:t>
      </w:r>
      <w:r>
        <w:t xml:space="preserve">personnel shall be redeployed or released in accordance with French labour law (Code du travail).</w:t>
      </w:r>
    </w:p>
    <w:p>
      <w:pPr>
        <w:numPr>
          <w:ilvl w:val="0"/>
          <w:numId w:val="1001"/>
        </w:numPr>
        <w:pStyle w:val="Compact"/>
      </w:pPr>
      <w:r>
        <w:rPr>
          <w:bCs/>
          <w:b/>
        </w:rPr>
        <w:t xml:space="preserve">Dispute Resolution:</w:t>
      </w:r>
      <w:r>
        <w:t xml:space="preserve"> </w:t>
      </w:r>
      <w:r>
        <w:t xml:space="preserve">Any dispute arising from this</w:t>
      </w:r>
      <w:r>
        <w:t xml:space="preserve"> </w:t>
      </w:r>
      <w:r>
        <w:t xml:space="preserve">Quotation Estimate</w:t>
      </w:r>
      <w:r>
        <w:t xml:space="preserve"> </w:t>
      </w:r>
      <w:r>
        <w:t xml:space="preserve">or the resulting contract shall be submitted to the competent administrative courts of France Paris, or to arbitration under the rules of the CCI Paris, at the election of the requesting authority.</w:t>
      </w:r>
    </w:p>
    <w:bookmarkEnd w:id="24"/>
    <w:bookmarkStart w:id="25" w:name="acceptance-and-authorization"/>
    <w:p>
      <w:pPr>
        <w:pStyle w:val="Heading2"/>
      </w:pPr>
      <w:r>
        <w:t xml:space="preserve">5. Acceptance and Authorization</w:t>
      </w:r>
    </w:p>
    <w:p>
      <w:pPr>
        <w:pStyle w:val="FirstParagraph"/>
      </w:pPr>
      <w:r>
        <w:t xml:space="preserve">By signing below, the requesting authority acknowledges receipt of this</w:t>
      </w:r>
      <w:r>
        <w:t xml:space="preserve"> </w:t>
      </w:r>
      <w:r>
        <w:t xml:space="preserve">Quotation Estimate</w:t>
      </w:r>
      <w:r>
        <w:t xml:space="preserve"> </w:t>
      </w:r>
      <w:r>
        <w:t xml:space="preserve">and confirms that the proposed scope of</w:t>
      </w:r>
      <w:r>
        <w:t xml:space="preserve"> </w:t>
      </w:r>
      <w:r>
        <w:t xml:space="preserve">Police Officer</w:t>
      </w:r>
      <w:r>
        <w:t xml:space="preserve"> </w:t>
      </w:r>
      <w:r>
        <w:t xml:space="preserve">services for</w:t>
      </w:r>
      <w:r>
        <w:t xml:space="preserve"> </w:t>
      </w:r>
      <w:r>
        <w:t xml:space="preserve">France Paris</w:t>
      </w:r>
      <w:r>
        <w:t xml:space="preserve"> </w:t>
      </w:r>
      <w:r>
        <w:t xml:space="preserve">meets the operational requirements outlined in RFP reference PP-2025-SEC-114. This signature constitutes formal acceptance of all terms, conditions, and pricing set forth in this document.</w:t>
      </w:r>
    </w:p>
    <w:p>
      <w:pPr>
        <w:pStyle w:val="BodyText"/>
      </w:pPr>
      <w:r>
        <w:rPr>
          <w:bCs/>
          <w:b/>
        </w:rPr>
        <w:t xml:space="preserve">For the Service Provider:</w:t>
      </w:r>
    </w:p>
    <w:p>
      <w:pPr>
        <w:pStyle w:val="BodyText"/>
      </w:pPr>
      <w:r>
        <w:t xml:space="preserve">Société de Sécurité Publique &amp; Services Spécialisés</w:t>
      </w:r>
    </w:p>
    <w:p>
      <w:pPr>
        <w:pStyle w:val="BodyText"/>
      </w:pPr>
      <w:r>
        <w:t xml:space="preserve">Name: ___________________________</w:t>
      </w:r>
    </w:p>
    <w:p>
      <w:pPr>
        <w:pStyle w:val="BodyText"/>
      </w:pPr>
      <w:r>
        <w:t xml:space="preserve">Title: Directeur des Opérations</w:t>
      </w:r>
    </w:p>
    <w:p>
      <w:pPr>
        <w:pStyle w:val="BodyText"/>
      </w:pPr>
      <w:r>
        <w:t xml:space="preserve">Date: ___________________________</w:t>
      </w:r>
    </w:p>
    <w:p>
      <w:pPr>
        <w:pStyle w:val="BodyText"/>
      </w:pPr>
      <w:r>
        <w:t xml:space="preserve">Signature &amp; Seal:</w:t>
      </w:r>
    </w:p>
    <w:p>
      <w:pPr>
        <w:pStyle w:val="BodyText"/>
      </w:pPr>
      <w:r>
        <w:rPr>
          <w:bCs/>
          <w:b/>
        </w:rPr>
        <w:t xml:space="preserve">For the Requesting Authority:</w:t>
      </w:r>
    </w:p>
    <w:p>
      <w:pPr>
        <w:pStyle w:val="BodyText"/>
      </w:pPr>
      <w:r>
        <w:t xml:space="preserve">Préfecture de Police de Paris</w:t>
      </w:r>
    </w:p>
    <w:p>
      <w:pPr>
        <w:pStyle w:val="BodyText"/>
      </w:pPr>
      <w:r>
        <w:t xml:space="preserve">Name: ___________________________</w:t>
      </w:r>
    </w:p>
    <w:p>
      <w:pPr>
        <w:pStyle w:val="BodyText"/>
      </w:pPr>
      <w:r>
        <w:t xml:space="preserve">Title: ___________________________</w:t>
      </w:r>
    </w:p>
    <w:p>
      <w:pPr>
        <w:pStyle w:val="BodyText"/>
      </w:pPr>
      <w:r>
        <w:t xml:space="preserve">Date: ___________________________</w:t>
      </w:r>
    </w:p>
    <w:p>
      <w:pPr>
        <w:pStyle w:val="BodyText"/>
      </w:pPr>
      <w:r>
        <w:t xml:space="preserve">Signature &amp; Seal:</w:t>
      </w:r>
    </w:p>
    <w:p>
      <w:pPr>
        <w:pStyle w:val="BodyText"/>
      </w:pPr>
      <w:r>
        <w:t xml:space="preserve">Quotation Estimate No. QTE-2025-FR-PA-04872 — Police Officer Services — France Paris</w:t>
      </w:r>
    </w:p>
    <w:p>
      <w:pPr>
        <w:pStyle w:val="BodyText"/>
      </w:pPr>
      <w:r>
        <w:t xml:space="preserve">This document is confidential and intended solely for the named recipient. Unauthorized reproduction or distribution is prohibited under French intellectual property law.</w:t>
      </w:r>
    </w:p>
    <w:p>
      <w:pPr>
        <w:pStyle w:val="BodyText"/>
      </w:pPr>
      <w:r>
        <w:t xml:space="preserve">© 2025 Société de Sécurité Publique &amp; Services Spécialisés —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Police Officer Services - France Paris</dc:title>
  <dc:creator/>
  <dc:language>en</dc:language>
  <cp:keywords/>
  <dcterms:created xsi:type="dcterms:W3CDTF">2026-10-10T02:43:14Z</dcterms:created>
  <dcterms:modified xsi:type="dcterms:W3CDTF">2026-10-10T02:43:14Z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