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X4499739021399af8c9dc258f4212e9d6851df3f"/>
    <w:p>
      <w:pPr>
        <w:pStyle w:val="Heading1"/>
      </w:pPr>
      <w:r>
        <w:t xml:space="preserve">Frankfurt Security &amp; Public Safety Services GmbH</w:t>
      </w:r>
    </w:p>
    <w:p>
      <w:pPr>
        <w:pStyle w:val="FirstParagraph"/>
      </w:pPr>
      <w:r>
        <w:t xml:space="preserve">Mainzer Landstraße 245, 60329 Frankfurt am Main, Germany</w:t>
      </w:r>
    </w:p>
    <w:p>
      <w:pPr>
        <w:pStyle w:val="BodyText"/>
      </w:pPr>
      <w:r>
        <w:t xml:space="preserve">Phone: +49 69 1234 5678 | Email: quotations@frankfurt-security.de</w:t>
      </w:r>
    </w:p>
    <w:p>
      <w:pPr>
        <w:pStyle w:val="BodyText"/>
      </w:pPr>
      <w:r>
        <w:t xml:space="preserve">USt-IdNr.: DE 123 456 789 | HRB 45678 Frankfurt am Main</w:t>
      </w:r>
    </w:p>
    <w:bookmarkEnd w:id="20"/>
    <w:p>
      <w:pPr>
        <w:pStyle w:val="BodyText"/>
      </w:pPr>
      <w:r>
        <w:t xml:space="preserve">Quotation Reference: QTE-2025-0847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Police Officer Services &amp; Deployment – Germany Frankfurt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Frankfurt am Main Municipal Authority – Department of Public Order &amp; Safety</w:t>
            </w:r>
          </w:p>
        </w:tc>
      </w:tr>
      <w:tr>
        <w:tc>
          <w:tcPr/>
          <w:p>
            <w:pPr>
              <w:pStyle w:val="Compact"/>
              <w:jc w:val="left"/>
            </w:pPr>
            <w:r>
              <w:t xml:space="preserve">Attention:</w:t>
            </w:r>
          </w:p>
        </w:tc>
        <w:tc>
          <w:tcPr/>
          <w:p>
            <w:pPr>
              <w:pStyle w:val="Compact"/>
              <w:jc w:val="left"/>
            </w:pPr>
            <w:r>
              <w:t xml:space="preserve">Dr. Heinrich Vogel, Director of Public Safety Operations</w:t>
            </w:r>
          </w:p>
        </w:tc>
      </w:tr>
      <w:tr>
        <w:tc>
          <w:tcPr/>
          <w:p>
            <w:pPr>
              <w:pStyle w:val="Compact"/>
              <w:jc w:val="left"/>
            </w:pPr>
            <w:r>
              <w:t xml:space="preserve">Project Location:</w:t>
            </w:r>
          </w:p>
        </w:tc>
        <w:tc>
          <w:tcPr/>
          <w:p>
            <w:pPr>
              <w:pStyle w:val="Compact"/>
              <w:jc w:val="left"/>
            </w:pPr>
            <w:r>
              <w:t xml:space="preserve">Germany Frankfurt – Central District, Bahnhofsviertel, and Main River Corridor</w:t>
            </w:r>
          </w:p>
        </w:tc>
      </w:tr>
      <w:tr>
        <w:tc>
          <w:tcPr/>
          <w:p>
            <w:pPr>
              <w:pStyle w:val="Compact"/>
              <w:jc w:val="left"/>
            </w:pPr>
            <w:r>
              <w:t xml:space="preserve">Service Period:</w:t>
            </w:r>
          </w:p>
        </w:tc>
        <w:tc>
          <w:tcPr/>
          <w:p>
            <w:pPr>
              <w:pStyle w:val="Compact"/>
              <w:jc w:val="left"/>
            </w:pPr>
            <w:r>
              <w:t xml:space="preserve">01 September 2025 – 31 August 2026 (12 months)</w:t>
            </w:r>
          </w:p>
        </w:tc>
      </w:tr>
      <w:tr>
        <w:tc>
          <w:tcPr/>
          <w:p>
            <w:pPr>
              <w:pStyle w:val="Compact"/>
              <w:jc w:val="left"/>
            </w:pPr>
            <w:r>
              <w:t xml:space="preserve">Quotation Validity:</w:t>
            </w:r>
          </w:p>
        </w:tc>
        <w:tc>
          <w:tcPr/>
          <w:p>
            <w:pPr>
              <w:pStyle w:val="Compact"/>
              <w:jc w:val="left"/>
            </w:pPr>
            <w:r>
              <w:t xml:space="preserve">60 calendar days from the date of issue</w:t>
            </w:r>
          </w:p>
        </w:tc>
      </w:tr>
      <w:tr>
        <w:tc>
          <w:tcPr/>
          <w:p>
            <w:pPr>
              <w:pStyle w:val="Compact"/>
              <w:jc w:val="left"/>
            </w:pPr>
            <w:r>
              <w:t xml:space="preserve">Currency:</w:t>
            </w:r>
          </w:p>
        </w:tc>
        <w:tc>
          <w:tcPr/>
          <w:p>
            <w:pPr>
              <w:pStyle w:val="Compact"/>
              <w:jc w:val="left"/>
            </w:pPr>
            <w:r>
              <w:t xml:space="preserve">Euro (EUR)</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Frankfurt Security &amp; Public Safety Services GmbH to provide a comprehensive financial breakdown for the recruitment, deployment, and ongoing operational support of a certified</w:t>
      </w:r>
      <w:r>
        <w:t xml:space="preserve"> </w:t>
      </w:r>
      <w:r>
        <w:t xml:space="preserve">Police Officer</w:t>
      </w:r>
      <w:r>
        <w:t xml:space="preserve"> </w:t>
      </w:r>
      <w:r>
        <w:t xml:space="preserve">within the jurisdiction of</w:t>
      </w:r>
      <w:r>
        <w:t xml:space="preserve"> </w:t>
      </w:r>
      <w:r>
        <w:t xml:space="preserve">Germany Frankfurt</w:t>
      </w:r>
      <w:r>
        <w:t xml:space="preserve">. The scope encompasses all personnel costs, equipment provisioning, training, insurance, and administrative overheads required to maintain a fully operational Police Officer presence in the designated districts of Frankfurt am Main throughout the twelve-month contract period.</w:t>
      </w:r>
    </w:p>
    <w:p>
      <w:pPr>
        <w:pStyle w:val="BodyText"/>
      </w:pPr>
      <w:r>
        <w:t xml:space="preserve">The Police Officer referenced in this Quotation Estimate shall hold a valid appointment under the Hessisches Polizeigesetz (Hessian Police Act) and shall be authorized to perform all duties consistent with the role of a uniformed Police Officer in Germany Frankfurt, including but not limited to patrol operations, crowd management at public events, traffic enforcement, community engagement, and emergency response coordination.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salary and statutory social contributions for one (1) Police Officer (Level A 11, TV-L)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Uniform, protective gear, and standard-issue equipment for the Police Officer</w:t>
            </w:r>
          </w:p>
        </w:tc>
        <w:tc>
          <w:tcPr/>
          <w:p>
            <w:pPr>
              <w:pStyle w:val="Compact"/>
              <w:jc w:val="left"/>
            </w:pPr>
            <w:r>
              <w:t xml:space="preserve">Set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Annual refresher training and tactical certification for the Police Officer in Germany Frankfurt</w:t>
            </w:r>
          </w:p>
        </w:tc>
        <w:tc>
          <w:tcPr/>
          <w:p>
            <w:pPr>
              <w:pStyle w:val="Compact"/>
              <w:jc w:val="left"/>
            </w:pPr>
            <w:r>
              <w:t xml:space="preserve">Course</w:t>
            </w:r>
          </w:p>
        </w:tc>
        <w:tc>
          <w:tcPr/>
          <w:p>
            <w:pPr>
              <w:pStyle w:val="Compact"/>
              <w:jc w:val="left"/>
            </w:pPr>
            <w:r>
              <w:t xml:space="preserve">2</w:t>
            </w:r>
          </w:p>
        </w:tc>
        <w:tc>
          <w:tcPr/>
          <w:p>
            <w:pPr>
              <w:pStyle w:val="Compact"/>
              <w:jc w:val="left"/>
            </w:pPr>
            <w:r>
              <w:t xml:space="preserve">1,875.00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Professional liability and occupational accident insurance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Vehicle allocation, fuel, and maintenance (patrol vehicle for Germany Frankfurt districts)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06</w:t>
            </w:r>
          </w:p>
        </w:tc>
        <w:tc>
          <w:tcPr/>
          <w:p>
            <w:pPr>
              <w:pStyle w:val="Compact"/>
              <w:jc w:val="left"/>
            </w:pPr>
            <w:r>
              <w:t xml:space="preserve">Communication equipment, body-worn cameras, and digital reporting systems</w:t>
            </w:r>
          </w:p>
        </w:tc>
        <w:tc>
          <w:tcPr/>
          <w:p>
            <w:pPr>
              <w:pStyle w:val="Compact"/>
              <w:jc w:val="left"/>
            </w:pPr>
            <w:r>
              <w:t xml:space="preserve">Set</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Administrative overhead, supervisory coordination, and compliance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08</w:t>
            </w:r>
          </w:p>
        </w:tc>
        <w:tc>
          <w:tcPr/>
          <w:p>
            <w:pPr>
              <w:pStyle w:val="Compact"/>
              <w:jc w:val="left"/>
            </w:pPr>
            <w:r>
              <w:t xml:space="preserve">On-call and overtime allowance (estimated 15% of base salary)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8,730.00</w:t>
            </w:r>
          </w:p>
        </w:tc>
        <w:tc>
          <w:tcPr/>
          <w:p>
            <w:pPr>
              <w:pStyle w:val="Compact"/>
              <w:jc w:val="left"/>
            </w:pPr>
            <w:r>
              <w:t xml:space="preserve">8,730.00</w:t>
            </w:r>
          </w:p>
        </w:tc>
      </w:tr>
      <w:tr>
        <w:tc>
          <w:tcPr/>
          <w:p>
            <w:pPr>
              <w:pStyle w:val="Compact"/>
              <w:jc w:val="left"/>
            </w:pPr>
            <w:r>
              <w:t xml:space="preserve">09</w:t>
            </w:r>
          </w:p>
        </w:tc>
        <w:tc>
          <w:tcPr/>
          <w:p>
            <w:pPr>
              <w:pStyle w:val="Compact"/>
              <w:jc w:val="left"/>
            </w:pPr>
            <w:r>
              <w:t xml:space="preserve">Medical and psychological fitness assessments (bi-annual)</w:t>
            </w:r>
          </w:p>
        </w:tc>
        <w:tc>
          <w:tcPr/>
          <w:p>
            <w:pPr>
              <w:pStyle w:val="Compact"/>
              <w:jc w:val="left"/>
            </w:pPr>
            <w:r>
              <w:t xml:space="preserve">Assessment</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Contingency and miscellaneous operational expenses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 (excl. VAT)</w:t>
            </w:r>
          </w:p>
        </w:tc>
        <w:tc>
          <w:tcPr/>
          <w:p>
            <w:pPr>
              <w:pStyle w:val="Compact"/>
              <w:jc w:val="left"/>
            </w:pPr>
            <w:r>
              <w:t xml:space="preserve">112,220.00</w:t>
            </w:r>
          </w:p>
        </w:tc>
      </w:tr>
      <w:tr>
        <w:tc>
          <w:tcPr>
            <w:gridSpan w:val="5"/>
          </w:tcPr>
          <w:p>
            <w:pPr>
              <w:pStyle w:val="Compact"/>
              <w:jc w:val="left"/>
            </w:pPr>
            <w:r>
              <w:t xml:space="preserve">VAT (19% – German standard rate)</w:t>
            </w:r>
          </w:p>
        </w:tc>
        <w:tc>
          <w:tcPr/>
          <w:p>
            <w:pPr>
              <w:pStyle w:val="Compact"/>
              <w:jc w:val="left"/>
            </w:pPr>
            <w:r>
              <w:t xml:space="preserve">21,321.80</w:t>
            </w:r>
          </w:p>
        </w:tc>
      </w:tr>
      <w:tr>
        <w:tc>
          <w:tcPr>
            <w:gridSpan w:val="5"/>
          </w:tcPr>
          <w:p>
            <w:pPr>
              <w:pStyle w:val="Compact"/>
              <w:jc w:val="left"/>
            </w:pPr>
            <w:r>
              <w:t xml:space="preserve">Grand Total (incl. VAT)</w:t>
            </w:r>
          </w:p>
        </w:tc>
        <w:tc>
          <w:tcPr/>
          <w:p>
            <w:pPr>
              <w:pStyle w:val="Compact"/>
              <w:jc w:val="left"/>
            </w:pPr>
            <w:r>
              <w:t xml:space="preserve">133,541.80</w:t>
            </w:r>
          </w:p>
        </w:tc>
      </w:tr>
    </w:tbl>
    <w:bookmarkEnd w:id="23"/>
    <w:bookmarkStart w:id="24" w:name="terms-and-conditions"/>
    <w:p>
      <w:pPr>
        <w:pStyle w:val="Heading3"/>
      </w:pPr>
      <w:r>
        <w:t xml:space="preserve">3. Terms and Conditions</w:t>
      </w:r>
    </w:p>
    <w:p>
      <w:pPr>
        <w:pStyle w:val="FirstParagraph"/>
      </w:pPr>
      <w:r>
        <w:rPr>
          <w:bCs/>
          <w:b/>
        </w:rPr>
        <w:t xml:space="preserve">3.1</w:t>
      </w:r>
      <w:r>
        <w:t xml:space="preserve"> </w:t>
      </w:r>
      <w:r>
        <w:t xml:space="preserve">This Quotation Estimate is valid for a period of sixty (60) calendar days from the date of issue. Beyond this period, all prices and terms are subject to revision based on current market conditions in Germany Frankfurt and applicable statutory salary adjustments.</w:t>
      </w:r>
    </w:p>
    <w:p>
      <w:pPr>
        <w:pStyle w:val="BodyText"/>
      </w:pPr>
      <w:r>
        <w:rPr>
          <w:bCs/>
          <w:b/>
        </w:rPr>
        <w:t xml:space="preserve">3.2</w:t>
      </w:r>
      <w:r>
        <w:t xml:space="preserve"> </w:t>
      </w:r>
      <w:r>
        <w:t xml:space="preserve">The Police Officer named or assigned under this Quotation Estimate must meet all eligibility criteria set forth by the Hessisches Ministerium des Innern, including physical fitness, psychological evaluation, criminal background clearance, and completion of the required Polizeiausbildung (police training programme).</w:t>
      </w:r>
    </w:p>
    <w:p>
      <w:pPr>
        <w:pStyle w:val="BodyText"/>
      </w:pPr>
      <w:r>
        <w:rPr>
          <w:bCs/>
          <w:b/>
        </w:rPr>
        <w:t xml:space="preserve">3.3</w:t>
      </w:r>
      <w:r>
        <w:t xml:space="preserve"> </w:t>
      </w:r>
      <w:r>
        <w:t xml:space="preserve">Payment terms: Invoicing shall occur on a monthly basis in arrears. Payment is due within thirty (30) days of invoice receipt. Late payments shall incur interest at the statutory rate under § 288 BGB.</w:t>
      </w:r>
    </w:p>
    <w:p>
      <w:pPr>
        <w:pStyle w:val="BodyText"/>
      </w:pPr>
      <w:r>
        <w:rPr>
          <w:bCs/>
          <w:b/>
        </w:rPr>
        <w:t xml:space="preserve">3.4</w:t>
      </w:r>
      <w:r>
        <w:t xml:space="preserve"> </w:t>
      </w:r>
      <w:r>
        <w:t xml:space="preserve">The scope of this Quotation Estimate covers the deployment of one (1) Police Officer. Any additional personnel, extended operational hours, or specialized tasking (e.g., major event security at the Frankfurt Trade Fair) shall be subject to a supplementary Quotation Estimate issued separately.</w:t>
      </w:r>
    </w:p>
    <w:p>
      <w:pPr>
        <w:pStyle w:val="BodyText"/>
      </w:pPr>
      <w:r>
        <w:rPr>
          <w:bCs/>
          <w:b/>
        </w:rPr>
        <w:t xml:space="preserve">3.5</w:t>
      </w:r>
      <w:r>
        <w:t xml:space="preserve"> </w:t>
      </w:r>
      <w:r>
        <w:t xml:space="preserve">All services rendered under this Quotation Estimate shall comply with the German Basic Law (Grundgesetz), the Hessian Police Act, and all applicable data protection regulations under the GDPR and the Hessisches Datenschutzgesetz.</w:t>
      </w:r>
    </w:p>
    <w:p>
      <w:pPr>
        <w:pStyle w:val="BodyText"/>
      </w:pPr>
      <w:r>
        <w:rPr>
          <w:bCs/>
          <w:b/>
        </w:rPr>
        <w:t xml:space="preserve">3.6</w:t>
      </w:r>
      <w:r>
        <w:t xml:space="preserve"> </w:t>
      </w:r>
      <w:r>
        <w:t xml:space="preserve">Either party may terminate the engagement with a written notice period of sixty (60) days. In the event of early termination, a pro-rata adjustment of the Quotation Estimate totals shall apply.</w:t>
      </w:r>
    </w:p>
    <w:p>
      <w:pPr>
        <w:pStyle w:val="BodyText"/>
      </w:pPr>
      <w:r>
        <w:rPr>
          <w:bCs/>
          <w:b/>
        </w:rPr>
        <w:t xml:space="preserve">3.7</w:t>
      </w:r>
      <w:r>
        <w:t xml:space="preserve"> </w:t>
      </w:r>
      <w:r>
        <w:t xml:space="preserve">This Quotation Estimate does not constitute a binding contract until formally accepted in writing by both parties and countersigned by an authorized representative.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Police Officer services in Germany Frankfurt and confirms that all terms, conditions, and financial figures have been reviewed and accepted. The Quotation Estimate shall become effective upon the start date specified in Section 1, provided that all pre-conditions, including the Police Officer's final appointment letter and equipment delivery, are fulfilled.</w:t>
      </w:r>
    </w:p>
    <w:p>
      <w:pPr>
        <w:pStyle w:val="BodyText"/>
      </w:pPr>
      <w:r>
        <w:rPr>
          <w:bCs/>
          <w:b/>
        </w:rPr>
        <w:t xml:space="preserve">For Frankfurt Security &amp; Public Safety Services GmbH</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rPr>
          <w:bCs/>
          <w:b/>
        </w:rPr>
        <w:t xml:space="preserve">For Frankfurt am Main Municipal Authority</w:t>
      </w:r>
    </w:p>
    <w:p>
      <w:pPr>
        <w:pStyle w:val="BodyText"/>
      </w:pPr>
      <w:r>
        <w:t xml:space="preserve">Name: _________________________</w:t>
      </w:r>
    </w:p>
    <w:p>
      <w:pPr>
        <w:pStyle w:val="BodyText"/>
      </w:pPr>
      <w:r>
        <w:t xml:space="preserve">Title: Director, Public Safety Operations</w:t>
      </w:r>
    </w:p>
    <w:p>
      <w:pPr>
        <w:pStyle w:val="BodyText"/>
      </w:pPr>
      <w:r>
        <w:t xml:space="preserve">Date: _________________________</w:t>
      </w:r>
    </w:p>
    <w:p>
      <w:pPr>
        <w:pStyle w:val="BodyText"/>
      </w:pPr>
      <w:r>
        <w:t xml:space="preserve">Frankfurt Security &amp; Public Safety Services GmbH | Mainzer Landstraße 245, 60329 Frankfurt am Main, Germany</w:t>
      </w:r>
    </w:p>
    <w:p>
      <w:pPr>
        <w:pStyle w:val="BodyText"/>
      </w:pPr>
      <w:r>
        <w:t xml:space="preserve">This Quotation Estimate (Ref. QTE-2025-0847) is issued exclusively for the Police Officer deployment project in Germany Frankfurt.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Germany Frankfurt</dc:title>
  <dc:creator/>
  <dc:language>en</dc:language>
  <cp:keywords/>
  <dcterms:created xsi:type="dcterms:W3CDTF">2026-10-10T04:05:22Z</dcterms:created>
  <dcterms:modified xsi:type="dcterms:W3CDTF">2026-10-10T04:05:22Z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