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X6094731e41f02820c1bfe838e6ef01d5dd51c7a"/>
    <w:p>
      <w:pPr>
        <w:pStyle w:val="Heading1"/>
      </w:pPr>
      <w:r>
        <w:t xml:space="preserve">Levant Security &amp; Public Order Services Ltd.</w:t>
      </w:r>
    </w:p>
    <w:p>
      <w:pPr>
        <w:pStyle w:val="FirstParagraph"/>
      </w:pPr>
      <w:r>
        <w:t xml:space="preserve">12 Herzl Street, Tel Aviv-Yafo, Israel 6350000</w:t>
      </w:r>
    </w:p>
    <w:p>
      <w:pPr>
        <w:pStyle w:val="BodyText"/>
      </w:pPr>
      <w:r>
        <w:t xml:space="preserve">Tel: +972-3-621-4580 | Email: quotes@levantsecurity.co.il</w:t>
      </w:r>
    </w:p>
    <w:p>
      <w:pPr>
        <w:pStyle w:val="BodyText"/>
      </w:pPr>
      <w:r>
        <w:t xml:space="preserve">VAT No.: 51-804-332-17 | License No.: POL-2024-00871</w:t>
      </w:r>
    </w:p>
    <w:bookmarkEnd w:id="20"/>
    <w:p>
      <w:pPr>
        <w:pStyle w:val="BodyText"/>
      </w:pPr>
      <w:r>
        <w:t xml:space="preserve">Document Ref: QTE-2025-TLV-0447</w:t>
      </w:r>
    </w:p>
    <w:p>
      <w:pPr>
        <w:pStyle w:val="BodyText"/>
      </w:pPr>
      <w:r>
        <w:t xml:space="preserve">Date Issued: 14 June 2025</w:t>
      </w:r>
    </w:p>
    <w:bookmarkStart w:id="21" w:name="quotation-estimate"/>
    <w:p>
      <w:pPr>
        <w:pStyle w:val="Heading2"/>
      </w:pPr>
      <w:r>
        <w:t xml:space="preserve">QUOTATION ESTIMATE</w:t>
      </w:r>
    </w:p>
    <w:p>
      <w:pPr>
        <w:pStyle w:val="FirstParagraph"/>
      </w:pPr>
      <w:r>
        <w:t xml:space="preserve">Police Officer Deployment &amp; Public Safety Services — Israel Tel Aviv</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QTE-2025-TLV-0447</w:t>
            </w:r>
          </w:p>
        </w:tc>
      </w:tr>
      <w:tr>
        <w:tc>
          <w:tcPr/>
          <w:p>
            <w:pPr>
              <w:pStyle w:val="Compact"/>
              <w:jc w:val="left"/>
            </w:pPr>
            <w:r>
              <w:t xml:space="preserve">Client / Recipient</w:t>
            </w:r>
          </w:p>
        </w:tc>
        <w:tc>
          <w:tcPr/>
          <w:p>
            <w:pPr>
              <w:pStyle w:val="Compact"/>
              <w:jc w:val="left"/>
            </w:pPr>
            <w:r>
              <w:t xml:space="preserve">Tel Aviv-Yafo Municipality, Department of Public Safety &amp; Order</w:t>
            </w:r>
          </w:p>
        </w:tc>
      </w:tr>
      <w:tr>
        <w:tc>
          <w:tcPr/>
          <w:p>
            <w:pPr>
              <w:pStyle w:val="Compact"/>
              <w:jc w:val="left"/>
            </w:pPr>
            <w:r>
              <w:t xml:space="preserve">Client Address</w:t>
            </w:r>
          </w:p>
        </w:tc>
        <w:tc>
          <w:tcPr/>
          <w:p>
            <w:pPr>
              <w:pStyle w:val="Compact"/>
              <w:jc w:val="left"/>
            </w:pPr>
            <w:r>
              <w:t xml:space="preserve">10 Allenby Street, Tel Aviv-Yafo, Israel 6500000</w:t>
            </w:r>
          </w:p>
        </w:tc>
      </w:tr>
      <w:tr>
        <w:tc>
          <w:tcPr/>
          <w:p>
            <w:pPr>
              <w:pStyle w:val="Compact"/>
              <w:jc w:val="left"/>
            </w:pPr>
            <w:r>
              <w:t xml:space="preserve">Service Location</w:t>
            </w:r>
          </w:p>
        </w:tc>
        <w:tc>
          <w:tcPr/>
          <w:p>
            <w:pPr>
              <w:pStyle w:val="Compact"/>
              <w:jc w:val="left"/>
            </w:pPr>
            <w:r>
              <w:t xml:space="preserve">Israel Tel Aviv — Central District, Jaffa District, and Southern Tel Aviv Zones</w:t>
            </w:r>
          </w:p>
        </w:tc>
      </w:tr>
      <w:tr>
        <w:tc>
          <w:tcPr/>
          <w:p>
            <w:pPr>
              <w:pStyle w:val="Compact"/>
              <w:jc w:val="left"/>
            </w:pPr>
            <w:r>
              <w:t xml:space="preserve">Service Period</w:t>
            </w:r>
          </w:p>
        </w:tc>
        <w:tc>
          <w:tcPr/>
          <w:p>
            <w:pPr>
              <w:pStyle w:val="Compact"/>
              <w:jc w:val="left"/>
            </w:pPr>
            <w:r>
              <w:t xml:space="preserve">1 September 2025 – 31 August 2026 (12 months)</w:t>
            </w:r>
          </w:p>
        </w:tc>
      </w:tr>
      <w:tr>
        <w:tc>
          <w:tcPr/>
          <w:p>
            <w:pPr>
              <w:pStyle w:val="Compact"/>
              <w:jc w:val="left"/>
            </w:pPr>
            <w:r>
              <w:t xml:space="preserve">Quotation Validity</w:t>
            </w:r>
          </w:p>
        </w:tc>
        <w:tc>
          <w:tcPr/>
          <w:p>
            <w:pPr>
              <w:pStyle w:val="Compact"/>
              <w:jc w:val="left"/>
            </w:pPr>
            <w:r>
              <w:t xml:space="preserve">60 calendar days from date of issue</w:t>
            </w:r>
          </w:p>
        </w:tc>
      </w:tr>
      <w:tr>
        <w:tc>
          <w:tcPr/>
          <w:p>
            <w:pPr>
              <w:pStyle w:val="Compact"/>
              <w:jc w:val="left"/>
            </w:pPr>
            <w:r>
              <w:t xml:space="preserve">Currency</w:t>
            </w:r>
          </w:p>
        </w:tc>
        <w:tc>
          <w:tcPr/>
          <w:p>
            <w:pPr>
              <w:pStyle w:val="Compact"/>
              <w:jc w:val="left"/>
            </w:pPr>
            <w:r>
              <w:t xml:space="preserve">Israeli New Shekel (ILS / ₪)</w:t>
            </w:r>
          </w:p>
        </w:tc>
      </w:tr>
    </w:tbl>
    <w:bookmarkStart w:id="22" w:name="Xa4b65bee16afdea5d8bfeec02c3a72747270cc2"/>
    <w:p>
      <w:pPr>
        <w:pStyle w:val="Heading3"/>
      </w:pPr>
      <w:r>
        <w:t xml:space="preserve">1. Scope of Work — Police Officer Services in Israel Tel Aviv</w:t>
      </w:r>
    </w:p>
    <w:p>
      <w:pPr>
        <w:pStyle w:val="FirstParagraph"/>
      </w:pPr>
      <w:r>
        <w:t xml:space="preserve">This</w:t>
      </w:r>
      <w:r>
        <w:t xml:space="preserve"> </w:t>
      </w:r>
      <w:r>
        <w:t xml:space="preserve">Quotation Estimate</w:t>
      </w:r>
      <w:r>
        <w:t xml:space="preserve"> </w:t>
      </w:r>
      <w:r>
        <w:t xml:space="preserve">is issued by Levant Security &amp; Public Order Services Ltd. in response to the formal request for the deployment and management of certified</w:t>
      </w:r>
      <w:r>
        <w:t xml:space="preserve"> </w:t>
      </w:r>
      <w:r>
        <w:t xml:space="preserve">Police Officer</w:t>
      </w:r>
      <w:r>
        <w:t xml:space="preserve"> </w:t>
      </w:r>
      <w:r>
        <w:t xml:space="preserve">personnel across designated public areas within</w:t>
      </w:r>
      <w:r>
        <w:t xml:space="preserve"> </w:t>
      </w:r>
      <w:r>
        <w:t xml:space="preserve">Israel Tel Aviv</w:t>
      </w:r>
      <w:r>
        <w:t xml:space="preserve">. The scope encompasses the provision of uniformed Police Officer units responsible for crowd management, traffic regulation, community policing, event security, and general public order maintenance in high-traffic zones including Dizengoff Center, Florentin Market, the Jaffa Old City perimeter, and the Tel Aviv Beachfront promenade.</w:t>
      </w:r>
    </w:p>
    <w:p>
      <w:pPr>
        <w:pStyle w:val="BodyText"/>
      </w:pPr>
      <w:r>
        <w:t xml:space="preserve">Each Police Officer assigned under this contract shall hold a valid Israeli Police Service certification, a current security clearance issued by the Israel Police (Mishmar HaYisrael), and a minimum of three (3) years of operational experience in urban public order duties. All Police Officer personnel will be subject to background verification, psychological assessment, and ongoing professional development in accordance with the standards set by the Israel Police Academy in Ramla.</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Monthly Total (ILS)</w:t>
            </w:r>
          </w:p>
        </w:tc>
      </w:tr>
      <w:tr>
        <w:tc>
          <w:tcPr/>
          <w:p>
            <w:pPr>
              <w:pStyle w:val="Compact"/>
              <w:jc w:val="left"/>
            </w:pPr>
            <w:r>
              <w:t xml:space="preserve">01</w:t>
            </w:r>
          </w:p>
        </w:tc>
        <w:tc>
          <w:tcPr/>
          <w:p>
            <w:pPr>
              <w:pStyle w:val="Compact"/>
              <w:jc w:val="left"/>
            </w:pPr>
            <w:r>
              <w:t xml:space="preserve">Senior Police Officer — Crowd &amp; Event Management (Dizengoff / Florentin zones)</w:t>
            </w:r>
          </w:p>
        </w:tc>
        <w:tc>
          <w:tcPr/>
          <w:p>
            <w:pPr>
              <w:pStyle w:val="Compact"/>
              <w:jc w:val="left"/>
            </w:pPr>
            <w:r>
              <w:t xml:space="preserve">12</w:t>
            </w:r>
          </w:p>
        </w:tc>
        <w:tc>
          <w:tcPr/>
          <w:p>
            <w:pPr>
              <w:pStyle w:val="Compact"/>
              <w:jc w:val="left"/>
            </w:pPr>
            <w:r>
              <w:t xml:space="preserve">₪ 18,500</w:t>
            </w:r>
          </w:p>
        </w:tc>
        <w:tc>
          <w:tcPr/>
          <w:p>
            <w:pPr>
              <w:pStyle w:val="Compact"/>
              <w:jc w:val="left"/>
            </w:pPr>
            <w:r>
              <w:t xml:space="preserve">₪ 222,000</w:t>
            </w:r>
          </w:p>
        </w:tc>
      </w:tr>
      <w:tr>
        <w:tc>
          <w:tcPr/>
          <w:p>
            <w:pPr>
              <w:pStyle w:val="Compact"/>
              <w:jc w:val="left"/>
            </w:pPr>
            <w:r>
              <w:t xml:space="preserve">02</w:t>
            </w:r>
          </w:p>
        </w:tc>
        <w:tc>
          <w:tcPr/>
          <w:p>
            <w:pPr>
              <w:pStyle w:val="Compact"/>
              <w:jc w:val="left"/>
            </w:pPr>
            <w:r>
              <w:t xml:space="preserve">Police Officer — Traffic Regulation &amp; Road Safety (Central Tel Aviv corridors)</w:t>
            </w:r>
          </w:p>
        </w:tc>
        <w:tc>
          <w:tcPr/>
          <w:p>
            <w:pPr>
              <w:pStyle w:val="Compact"/>
              <w:jc w:val="left"/>
            </w:pPr>
            <w:r>
              <w:t xml:space="preserve">10</w:t>
            </w:r>
          </w:p>
        </w:tc>
        <w:tc>
          <w:tcPr/>
          <w:p>
            <w:pPr>
              <w:pStyle w:val="Compact"/>
              <w:jc w:val="left"/>
            </w:pPr>
            <w:r>
              <w:t xml:space="preserve">₪ 16,200</w:t>
            </w:r>
          </w:p>
        </w:tc>
        <w:tc>
          <w:tcPr/>
          <w:p>
            <w:pPr>
              <w:pStyle w:val="Compact"/>
              <w:jc w:val="left"/>
            </w:pPr>
            <w:r>
              <w:t xml:space="preserve">₪ 162,000</w:t>
            </w:r>
          </w:p>
        </w:tc>
      </w:tr>
      <w:tr>
        <w:tc>
          <w:tcPr/>
          <w:p>
            <w:pPr>
              <w:pStyle w:val="Compact"/>
              <w:jc w:val="left"/>
            </w:pPr>
            <w:r>
              <w:t xml:space="preserve">03</w:t>
            </w:r>
          </w:p>
        </w:tc>
        <w:tc>
          <w:tcPr/>
          <w:p>
            <w:pPr>
              <w:pStyle w:val="Compact"/>
              <w:jc w:val="left"/>
            </w:pPr>
            <w:r>
              <w:t xml:space="preserve">Police Officer — Community Policing &amp; Neighborhood Patrol (Jaffa &amp; Southern Tel Aviv)</w:t>
            </w:r>
          </w:p>
        </w:tc>
        <w:tc>
          <w:tcPr/>
          <w:p>
            <w:pPr>
              <w:pStyle w:val="Compact"/>
              <w:jc w:val="left"/>
            </w:pPr>
            <w:r>
              <w:t xml:space="preserve">15</w:t>
            </w:r>
          </w:p>
        </w:tc>
        <w:tc>
          <w:tcPr/>
          <w:p>
            <w:pPr>
              <w:pStyle w:val="Compact"/>
              <w:jc w:val="left"/>
            </w:pPr>
            <w:r>
              <w:t xml:space="preserve">₪ 15,800</w:t>
            </w:r>
          </w:p>
        </w:tc>
        <w:tc>
          <w:tcPr/>
          <w:p>
            <w:pPr>
              <w:pStyle w:val="Compact"/>
              <w:jc w:val="left"/>
            </w:pPr>
            <w:r>
              <w:t xml:space="preserve">₪ 237,000</w:t>
            </w:r>
          </w:p>
        </w:tc>
      </w:tr>
      <w:tr>
        <w:tc>
          <w:tcPr/>
          <w:p>
            <w:pPr>
              <w:pStyle w:val="Compact"/>
              <w:jc w:val="left"/>
            </w:pPr>
            <w:r>
              <w:t xml:space="preserve">04</w:t>
            </w:r>
          </w:p>
        </w:tc>
        <w:tc>
          <w:tcPr/>
          <w:p>
            <w:pPr>
              <w:pStyle w:val="Compact"/>
              <w:jc w:val="left"/>
            </w:pPr>
            <w:r>
              <w:t xml:space="preserve">Police Officer — Beachfront &amp; Tourist Zone Security (Tel Aviv Beaches, Sarona, Florentin)</w:t>
            </w:r>
          </w:p>
        </w:tc>
        <w:tc>
          <w:tcPr/>
          <w:p>
            <w:pPr>
              <w:pStyle w:val="Compact"/>
              <w:jc w:val="left"/>
            </w:pPr>
            <w:r>
              <w:t xml:space="preserve">8</w:t>
            </w:r>
          </w:p>
        </w:tc>
        <w:tc>
          <w:tcPr/>
          <w:p>
            <w:pPr>
              <w:pStyle w:val="Compact"/>
              <w:jc w:val="left"/>
            </w:pPr>
            <w:r>
              <w:t xml:space="preserve">₪ 17,400</w:t>
            </w:r>
          </w:p>
        </w:tc>
        <w:tc>
          <w:tcPr/>
          <w:p>
            <w:pPr>
              <w:pStyle w:val="Compact"/>
              <w:jc w:val="left"/>
            </w:pPr>
            <w:r>
              <w:t xml:space="preserve">₪ 139,200</w:t>
            </w:r>
          </w:p>
        </w:tc>
      </w:tr>
      <w:tr>
        <w:tc>
          <w:tcPr/>
          <w:p>
            <w:pPr>
              <w:pStyle w:val="Compact"/>
              <w:jc w:val="left"/>
            </w:pPr>
            <w:r>
              <w:t xml:space="preserve">05</w:t>
            </w:r>
          </w:p>
        </w:tc>
        <w:tc>
          <w:tcPr/>
          <w:p>
            <w:pPr>
              <w:pStyle w:val="Compact"/>
              <w:jc w:val="left"/>
            </w:pPr>
            <w:r>
              <w:t xml:space="preserve">Supervisory Police Officer — Shift Commander (24/7 coverage, 3 shifts)</w:t>
            </w:r>
          </w:p>
        </w:tc>
        <w:tc>
          <w:tcPr/>
          <w:p>
            <w:pPr>
              <w:pStyle w:val="Compact"/>
              <w:jc w:val="left"/>
            </w:pPr>
            <w:r>
              <w:t xml:space="preserve">6</w:t>
            </w:r>
          </w:p>
        </w:tc>
        <w:tc>
          <w:tcPr/>
          <w:p>
            <w:pPr>
              <w:pStyle w:val="Compact"/>
              <w:jc w:val="left"/>
            </w:pPr>
            <w:r>
              <w:t xml:space="preserve">₪ 24,000</w:t>
            </w:r>
          </w:p>
        </w:tc>
        <w:tc>
          <w:tcPr/>
          <w:p>
            <w:pPr>
              <w:pStyle w:val="Compact"/>
              <w:jc w:val="left"/>
            </w:pPr>
            <w:r>
              <w:t xml:space="preserve">₪ 144,000</w:t>
            </w:r>
          </w:p>
        </w:tc>
      </w:tr>
      <w:tr>
        <w:tc>
          <w:tcPr/>
          <w:p>
            <w:pPr>
              <w:pStyle w:val="Compact"/>
              <w:jc w:val="left"/>
            </w:pPr>
            <w:r>
              <w:t xml:space="preserve">06</w:t>
            </w:r>
          </w:p>
        </w:tc>
        <w:tc>
          <w:tcPr/>
          <w:p>
            <w:pPr>
              <w:pStyle w:val="Compact"/>
              <w:jc w:val="left"/>
            </w:pPr>
            <w:r>
              <w:t xml:space="preserve">Operational Vehicles — Marked Patrol Units (fuel, maintenance, insurance)</w:t>
            </w:r>
          </w:p>
        </w:tc>
        <w:tc>
          <w:tcPr/>
          <w:p>
            <w:pPr>
              <w:pStyle w:val="Compact"/>
              <w:jc w:val="left"/>
            </w:pPr>
            <w:r>
              <w:t xml:space="preserve">10</w:t>
            </w:r>
          </w:p>
        </w:tc>
        <w:tc>
          <w:tcPr/>
          <w:p>
            <w:pPr>
              <w:pStyle w:val="Compact"/>
              <w:jc w:val="left"/>
            </w:pPr>
            <w:r>
              <w:t xml:space="preserve">₪ 4,200</w:t>
            </w:r>
          </w:p>
        </w:tc>
        <w:tc>
          <w:tcPr/>
          <w:p>
            <w:pPr>
              <w:pStyle w:val="Compact"/>
              <w:jc w:val="left"/>
            </w:pPr>
            <w:r>
              <w:t xml:space="preserve">₪ 42,000</w:t>
            </w:r>
          </w:p>
        </w:tc>
      </w:tr>
      <w:tr>
        <w:tc>
          <w:tcPr/>
          <w:p>
            <w:pPr>
              <w:pStyle w:val="Compact"/>
              <w:jc w:val="left"/>
            </w:pPr>
            <w:r>
              <w:t xml:space="preserve">07</w:t>
            </w:r>
          </w:p>
        </w:tc>
        <w:tc>
          <w:tcPr/>
          <w:p>
            <w:pPr>
              <w:pStyle w:val="Compact"/>
              <w:jc w:val="left"/>
            </w:pPr>
            <w:r>
              <w:t xml:space="preserve">Communication Equipment — Radios, Body Cameras, GPS Tracking</w:t>
            </w:r>
          </w:p>
        </w:tc>
        <w:tc>
          <w:tcPr/>
          <w:p>
            <w:pPr>
              <w:pStyle w:val="Compact"/>
              <w:jc w:val="left"/>
            </w:pPr>
            <w:r>
              <w:t xml:space="preserve">51</w:t>
            </w:r>
          </w:p>
        </w:tc>
        <w:tc>
          <w:tcPr/>
          <w:p>
            <w:pPr>
              <w:pStyle w:val="Compact"/>
              <w:jc w:val="left"/>
            </w:pPr>
            <w:r>
              <w:t xml:space="preserve">₪ 850</w:t>
            </w:r>
          </w:p>
        </w:tc>
        <w:tc>
          <w:tcPr/>
          <w:p>
            <w:pPr>
              <w:pStyle w:val="Compact"/>
              <w:jc w:val="left"/>
            </w:pPr>
            <w:r>
              <w:t xml:space="preserve">₪ 43,350</w:t>
            </w:r>
          </w:p>
        </w:tc>
      </w:tr>
      <w:tr>
        <w:tc>
          <w:tcPr/>
          <w:p>
            <w:pPr>
              <w:pStyle w:val="Compact"/>
              <w:jc w:val="left"/>
            </w:pPr>
            <w:r>
              <w:t xml:space="preserve">08</w:t>
            </w:r>
          </w:p>
        </w:tc>
        <w:tc>
          <w:tcPr/>
          <w:p>
            <w:pPr>
              <w:pStyle w:val="Compact"/>
              <w:jc w:val="left"/>
            </w:pPr>
            <w:r>
              <w:t xml:space="preserve">Uniforms, Protective Gear &amp; Annual Replacement</w:t>
            </w:r>
          </w:p>
        </w:tc>
        <w:tc>
          <w:tcPr/>
          <w:p>
            <w:pPr>
              <w:pStyle w:val="Compact"/>
              <w:jc w:val="left"/>
            </w:pPr>
            <w:r>
              <w:t xml:space="preserve">51</w:t>
            </w:r>
          </w:p>
        </w:tc>
        <w:tc>
          <w:tcPr/>
          <w:p>
            <w:pPr>
              <w:pStyle w:val="Compact"/>
              <w:jc w:val="left"/>
            </w:pPr>
            <w:r>
              <w:t xml:space="preserve">₪ 1,200</w:t>
            </w:r>
          </w:p>
        </w:tc>
        <w:tc>
          <w:tcPr/>
          <w:p>
            <w:pPr>
              <w:pStyle w:val="Compact"/>
              <w:jc w:val="left"/>
            </w:pPr>
            <w:r>
              <w:t xml:space="preserve">₪ 61,200</w:t>
            </w:r>
          </w:p>
        </w:tc>
      </w:tr>
      <w:tr>
        <w:tc>
          <w:tcPr/>
          <w:p>
            <w:pPr>
              <w:pStyle w:val="Compact"/>
              <w:jc w:val="left"/>
            </w:pPr>
            <w:r>
              <w:t xml:space="preserve">09</w:t>
            </w:r>
          </w:p>
        </w:tc>
        <w:tc>
          <w:tcPr/>
          <w:p>
            <w:pPr>
              <w:pStyle w:val="Compact"/>
              <w:jc w:val="left"/>
            </w:pPr>
            <w:r>
              <w:t xml:space="preserve">Administrative &amp; Project Management Oversight</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10</w:t>
            </w:r>
          </w:p>
        </w:tc>
        <w:tc>
          <w:tcPr/>
          <w:p>
            <w:pPr>
              <w:pStyle w:val="Compact"/>
              <w:jc w:val="left"/>
            </w:pPr>
            <w:r>
              <w:t xml:space="preserve">Contingency &amp; Overtime Provision (estimated 5%)</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gridSpan w:val="4"/>
          </w:tcPr>
          <w:p>
            <w:pPr>
              <w:pStyle w:val="Compact"/>
              <w:jc w:val="right"/>
            </w:pPr>
            <w:r>
              <w:t xml:space="preserve">Monthly Subtotal</w:t>
            </w:r>
          </w:p>
        </w:tc>
        <w:tc>
          <w:tcPr/>
          <w:p>
            <w:pPr>
              <w:pStyle w:val="Compact"/>
              <w:jc w:val="left"/>
            </w:pPr>
            <w:r>
              <w:t xml:space="preserve">₪ 1,120,750</w:t>
            </w:r>
          </w:p>
        </w:tc>
      </w:tr>
      <w:tr>
        <w:tc>
          <w:tcPr>
            <w:gridSpan w:val="4"/>
          </w:tcPr>
          <w:p>
            <w:pPr>
              <w:pStyle w:val="Compact"/>
              <w:jc w:val="right"/>
            </w:pPr>
            <w:r>
              <w:t xml:space="preserve">Annual Total (12 months)</w:t>
            </w:r>
          </w:p>
        </w:tc>
        <w:tc>
          <w:tcPr/>
          <w:p>
            <w:pPr>
              <w:pStyle w:val="Compact"/>
              <w:jc w:val="left"/>
            </w:pPr>
            <w:r>
              <w:t xml:space="preserve">₪ 13,449,000</w:t>
            </w:r>
          </w:p>
        </w:tc>
      </w:tr>
      <w:tr>
        <w:tc>
          <w:tcPr>
            <w:gridSpan w:val="4"/>
          </w:tcPr>
          <w:p>
            <w:pPr>
              <w:pStyle w:val="Compact"/>
              <w:jc w:val="right"/>
            </w:pPr>
            <w:r>
              <w:t xml:space="preserve">VAT (18%)</w:t>
            </w:r>
          </w:p>
        </w:tc>
        <w:tc>
          <w:tcPr/>
          <w:p>
            <w:pPr>
              <w:pStyle w:val="Compact"/>
              <w:jc w:val="left"/>
            </w:pPr>
            <w:r>
              <w:t xml:space="preserve">₪ 2,420,820</w:t>
            </w:r>
          </w:p>
        </w:tc>
      </w:tr>
      <w:tr>
        <w:tc>
          <w:tcPr>
            <w:gridSpan w:val="4"/>
          </w:tcPr>
          <w:p>
            <w:pPr>
              <w:pStyle w:val="Compact"/>
              <w:jc w:val="right"/>
            </w:pPr>
            <w:r>
              <w:t xml:space="preserve">GRAND TOTAL (Annual, incl. VAT)</w:t>
            </w:r>
          </w:p>
        </w:tc>
        <w:tc>
          <w:tcPr/>
          <w:p>
            <w:pPr>
              <w:pStyle w:val="Compact"/>
              <w:jc w:val="left"/>
            </w:pPr>
            <w:r>
              <w:t xml:space="preserve">₪ 15,869,820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sixty (60) days from the date of issue. Beyond this period, pricing may be subject to revision based on labor market adjustments in Israel Tel Aviv.</w:t>
      </w:r>
    </w:p>
    <w:p>
      <w:pPr>
        <w:numPr>
          <w:ilvl w:val="0"/>
          <w:numId w:val="1001"/>
        </w:numPr>
        <w:pStyle w:val="Compact"/>
      </w:pPr>
      <w:r>
        <w:t xml:space="preserve">All Police Officer personnel shall be employed in full compliance with the Israeli Labor Law, the Police Service Law (5730-1970), and applicable municipal bylaws governing public order in Tel Aviv-Yafo.</w:t>
      </w:r>
    </w:p>
    <w:p>
      <w:pPr>
        <w:numPr>
          <w:ilvl w:val="0"/>
          <w:numId w:val="1001"/>
        </w:numPr>
        <w:pStyle w:val="Compact"/>
      </w:pPr>
      <w:r>
        <w:t xml:space="preserve">Payment terms: Net 30 days from the date of invoice issuance. Invoices shall be submitted on the 1st of each calendar month for the preceding month's services.</w:t>
      </w:r>
    </w:p>
    <w:p>
      <w:pPr>
        <w:numPr>
          <w:ilvl w:val="0"/>
          <w:numId w:val="1001"/>
        </w:numPr>
        <w:pStyle w:val="Compact"/>
      </w:pPr>
      <w:r>
        <w:t xml:space="preserve">The client reserves the right to request the reassignment or replacement of any individual Police Officer with 72 hours' written notice, at no additional cost to the client.</w:t>
      </w:r>
    </w:p>
    <w:p>
      <w:pPr>
        <w:numPr>
          <w:ilvl w:val="0"/>
          <w:numId w:val="1001"/>
        </w:numPr>
        <w:pStyle w:val="Compact"/>
      </w:pPr>
      <w:r>
        <w:t xml:space="preserve">Levant Security &amp; Public Order Services Ltd. shall maintain comprehensive liability insurance (minimum ₪ 10,000,000) and professional indemnity coverage for all Police Officer personnel operating within Israel Tel Aviv.</w:t>
      </w:r>
    </w:p>
    <w:p>
      <w:pPr>
        <w:numPr>
          <w:ilvl w:val="0"/>
          <w:numId w:val="1001"/>
        </w:numPr>
        <w:pStyle w:val="Compact"/>
      </w:pPr>
      <w:r>
        <w:t xml:space="preserve">Any force majeure event, including but not limited to national security alerts, civil emergencies, or government-mandated curfews in Tel Aviv, shall be addressed through mutual written agreement and shall not constitute a breach of this contract.</w:t>
      </w:r>
    </w:p>
    <w:p>
      <w:pPr>
        <w:numPr>
          <w:ilvl w:val="0"/>
          <w:numId w:val="1001"/>
        </w:numPr>
        <w:pStyle w:val="Compact"/>
      </w:pPr>
      <w:r>
        <w:t xml:space="preserve">All operational data, incident reports, and body-camera footage collected by Police Officer units shall be stored in accordance with the Israeli Privacy Protection Law (5741-1981) and the regulations of the Israel Police Information Technology Division.</w:t>
      </w:r>
    </w:p>
    <w:p>
      <w:pPr>
        <w:numPr>
          <w:ilvl w:val="0"/>
          <w:numId w:val="1001"/>
        </w:numPr>
        <w:pStyle w:val="Compact"/>
      </w:pPr>
      <w:r>
        <w:t xml:space="preserve">This Quotation Estimate does not constitute a binding contract until countersigned by both parties and approved by the Tel Aviv-Yafo Municipal Finance Committee.</w:t>
      </w:r>
    </w:p>
    <w:bookmarkEnd w:id="24"/>
    <w:bookmarkStart w:id="25" w:name="acceptance-authorization"/>
    <w:p>
      <w:pPr>
        <w:pStyle w:val="Heading3"/>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Police Officer</w:t>
      </w:r>
      <w:r>
        <w:t xml:space="preserve"> </w:t>
      </w:r>
      <w:r>
        <w:t xml:space="preserve">services in</w:t>
      </w:r>
      <w:r>
        <w:t xml:space="preserve"> </w:t>
      </w:r>
      <w:r>
        <w:t xml:space="preserve">Israel Tel Aviv</w:t>
      </w:r>
      <w:r>
        <w:t xml:space="preserve"> </w:t>
      </w:r>
      <w:r>
        <w:t xml:space="preserve">and agrees to the terms, conditions, and pricing outlined herein. This document shall serve as the foundational reference for the subsequent service-level agreement (SLA) and operational deployment plan.</w:t>
      </w:r>
    </w:p>
    <w:p>
      <w:pPr>
        <w:pStyle w:val="BodyText"/>
      </w:pPr>
      <w:r>
        <w:rPr>
          <w:bCs/>
          <w:b/>
        </w:rPr>
        <w:t xml:space="preserve">For Levant Security &amp; Public Order Services Ltd.</w:t>
      </w:r>
    </w:p>
    <w:p>
      <w:pPr>
        <w:pStyle w:val="BodyText"/>
      </w:pPr>
      <w:r>
        <w:t xml:space="preserve">Name: David Ben-Ami, General Manager</w:t>
      </w:r>
    </w:p>
    <w:p>
      <w:pPr>
        <w:pStyle w:val="BodyText"/>
      </w:pPr>
      <w:r>
        <w:t xml:space="preserve">Date: _______________</w:t>
      </w:r>
    </w:p>
    <w:p>
      <w:pPr>
        <w:pStyle w:val="BodyText"/>
      </w:pPr>
      <w:r>
        <w:rPr>
          <w:bCs/>
          <w:b/>
        </w:rPr>
        <w:t xml:space="preserve">For Tel Aviv-Yafo Municipality</w:t>
      </w:r>
    </w:p>
    <w:p>
      <w:pPr>
        <w:pStyle w:val="BodyText"/>
      </w:pPr>
      <w:r>
        <w:t xml:space="preserve">Name: _________________________</w:t>
      </w:r>
    </w:p>
    <w:p>
      <w:pPr>
        <w:pStyle w:val="BodyText"/>
      </w:pPr>
      <w:r>
        <w:t xml:space="preserve">Title: Director, Public Safety &amp; Order</w:t>
      </w:r>
    </w:p>
    <w:p>
      <w:pPr>
        <w:pStyle w:val="BodyText"/>
      </w:pPr>
      <w:r>
        <w:t xml:space="preserve">Date: _______________</w:t>
      </w:r>
    </w:p>
    <w:p>
      <w:pPr>
        <w:pStyle w:val="BodyText"/>
      </w:pPr>
      <w:r>
        <w:t xml:space="preserve">Quotation Estimate QTE-2025-TLV-0447 | Levant Security &amp; Public Order Services Ltd. | 12 Herzl Street, Tel Aviv-Yafo, Israel 6350000</w:t>
      </w:r>
    </w:p>
    <w:p>
      <w:pPr>
        <w:pStyle w:val="BodyText"/>
      </w:pPr>
      <w:r>
        <w:t xml:space="preserve">This document is confidential and intended solely for the named recipient. Unauthorized distribution is prohibited under Israeli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Israel Tel Aviv</dc:title>
  <dc:creator/>
  <dc:language>en</dc:language>
  <cp:keywords/>
  <dcterms:created xsi:type="dcterms:W3CDTF">2026-10-10T03:52:26Z</dcterms:created>
  <dcterms:modified xsi:type="dcterms:W3CDTF">2026-10-10T03:52:26Z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