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Police</w:t>
      </w:r>
      <w:r>
        <w:t xml:space="preserve"> </w:t>
      </w:r>
      <w:r>
        <w:t xml:space="preserve">Officer</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Jeddah</w:t>
      </w:r>
    </w:p>
    <w:bookmarkStart w:id="20" w:name="quotation-estimate"/>
    <w:p>
      <w:pPr>
        <w:pStyle w:val="Heading1"/>
      </w:pPr>
      <w:r>
        <w:t xml:space="preserve">Quotation Estimate</w:t>
      </w:r>
    </w:p>
    <w:p>
      <w:pPr>
        <w:pStyle w:val="FirstParagraph"/>
      </w:pPr>
      <w:r>
        <w:t xml:space="preserve">Professional Police Officer Security Services</w:t>
      </w:r>
    </w:p>
    <w:p>
      <w:pPr>
        <w:pStyle w:val="BodyText"/>
      </w:pPr>
      <w:r>
        <w:t xml:space="preserve">Jeddah, Saudi Arabia</w:t>
      </w:r>
    </w:p>
    <w:p>
      <w:pPr>
        <w:pStyle w:val="BodyText"/>
      </w:pPr>
      <w:r>
        <w:t xml:space="preserve">Document Reference: QE-JED-2025-04782</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Date:</w:t>
            </w:r>
          </w:p>
        </w:tc>
        <w:tc>
          <w:tcPr/>
          <w:p>
            <w:pPr>
              <w:pStyle w:val="Compact"/>
              <w:jc w:val="left"/>
            </w:pPr>
            <w:r>
              <w:t xml:space="preserve">15 June 2025</w:t>
            </w:r>
          </w:p>
        </w:tc>
        <w:tc>
          <w:tcPr/>
          <w:p>
            <w:pPr>
              <w:pStyle w:val="Compact"/>
              <w:jc w:val="left"/>
            </w:pPr>
            <w:r>
              <w:t xml:space="preserve">Validity Period:</w:t>
            </w:r>
          </w:p>
        </w:tc>
        <w:tc>
          <w:tcPr/>
          <w:p>
            <w:pPr>
              <w:pStyle w:val="Compact"/>
              <w:jc w:val="left"/>
            </w:pPr>
            <w:r>
              <w:t xml:space="preserve">30 Days from Issue Date</w:t>
            </w:r>
          </w:p>
        </w:tc>
      </w:tr>
      <w:tr>
        <w:tc>
          <w:tcPr/>
          <w:p>
            <w:pPr>
              <w:pStyle w:val="Compact"/>
              <w:jc w:val="left"/>
            </w:pPr>
            <w:r>
              <w:t xml:space="preserve">Prepared By:</w:t>
            </w:r>
          </w:p>
        </w:tc>
        <w:tc>
          <w:tcPr/>
          <w:p>
            <w:pPr>
              <w:pStyle w:val="Compact"/>
              <w:jc w:val="left"/>
            </w:pPr>
            <w:r>
              <w:t xml:space="preserve">Al-Sheikh Security &amp; Protection Services Co. Ltd.</w:t>
            </w:r>
          </w:p>
        </w:tc>
        <w:tc>
          <w:tcPr/>
          <w:p>
            <w:pPr>
              <w:pStyle w:val="Compact"/>
              <w:jc w:val="left"/>
            </w:pPr>
            <w:r>
              <w:t xml:space="preserve">License No.:</w:t>
            </w:r>
          </w:p>
        </w:tc>
        <w:tc>
          <w:tcPr/>
          <w:p>
            <w:pPr>
              <w:pStyle w:val="Compact"/>
              <w:jc w:val="left"/>
            </w:pPr>
            <w:r>
              <w:t xml:space="preserve">MOI-SEC-2019-44821</w:t>
            </w:r>
          </w:p>
        </w:tc>
      </w:tr>
      <w:tr>
        <w:tc>
          <w:tcPr/>
          <w:p>
            <w:pPr>
              <w:pStyle w:val="Compact"/>
              <w:jc w:val="left"/>
            </w:pPr>
            <w:r>
              <w:t xml:space="preserve">Client Name:</w:t>
            </w:r>
          </w:p>
        </w:tc>
        <w:tc>
          <w:tcPr/>
          <w:p>
            <w:pPr>
              <w:pStyle w:val="Compact"/>
              <w:jc w:val="left"/>
            </w:pPr>
            <w:r>
              <w:t xml:space="preserve">[Client Organization Name]</w:t>
            </w:r>
          </w:p>
        </w:tc>
        <w:tc>
          <w:tcPr/>
          <w:p>
            <w:pPr>
              <w:pStyle w:val="Compact"/>
              <w:jc w:val="left"/>
            </w:pPr>
            <w:r>
              <w:t xml:space="preserve">Client Address:</w:t>
            </w:r>
          </w:p>
        </w:tc>
        <w:tc>
          <w:tcPr/>
          <w:p>
            <w:pPr>
              <w:pStyle w:val="Compact"/>
              <w:jc w:val="left"/>
            </w:pPr>
            <w:r>
              <w:t xml:space="preserve">King Fahd Road, Al Shati District, Jeddah, Saudi Arabia</w:t>
            </w:r>
          </w:p>
        </w:tc>
      </w:tr>
      <w:tr>
        <w:tc>
          <w:tcPr/>
          <w:p>
            <w:pPr>
              <w:pStyle w:val="Compact"/>
              <w:jc w:val="left"/>
            </w:pPr>
            <w:r>
              <w:t xml:space="preserve">Service Location:</w:t>
            </w:r>
          </w:p>
        </w:tc>
        <w:tc>
          <w:tcPr/>
          <w:p>
            <w:pPr>
              <w:pStyle w:val="Compact"/>
              <w:jc w:val="left"/>
            </w:pPr>
            <w:r>
              <w:t xml:space="preserve">Client Premises, Jeddah, Saudi Arabia</w:t>
            </w:r>
          </w:p>
        </w:tc>
        <w:tc>
          <w:tcPr/>
          <w:p>
            <w:pPr>
              <w:pStyle w:val="Compact"/>
              <w:jc w:val="left"/>
            </w:pPr>
            <w:r>
              <w:t xml:space="preserve">Contract Duration:</w:t>
            </w:r>
          </w:p>
        </w:tc>
        <w:tc>
          <w:tcPr/>
          <w:p>
            <w:pPr>
              <w:pStyle w:val="Compact"/>
              <w:jc w:val="left"/>
            </w:pPr>
            <w:r>
              <w:t xml:space="preserve">12 Months (Renewable)</w:t>
            </w:r>
          </w:p>
        </w:tc>
      </w:tr>
    </w:tbl>
    <w:bookmarkStart w:id="21" w:name="purpose-of-this-quotation-estimate"/>
    <w:p>
      <w:pPr>
        <w:pStyle w:val="Heading2"/>
      </w:pPr>
      <w:r>
        <w:t xml:space="preserve">1. Purpose of This Quotation Estimate</w:t>
      </w:r>
    </w:p>
    <w:p>
      <w:pPr>
        <w:pStyle w:val="FirstParagraph"/>
      </w:pPr>
      <w:r>
        <w:t xml:space="preserve">This Quotation Estimate is formally issued by Al-Sheikh Security &amp; Protection Services Co. Ltd. to provide a comprehensive and transparent cost breakdown for the deployment of qualified Police Officer personnel to the client's premises located in Jeddah, Saudi Arabia. This document serves as the official financial proposal and outlines all associated costs, service deliverables, and contractual obligations for the provision of Police Officer security services. The Quotation Estimate has been prepared in full compliance with the regulations set forth by the Ministry of Interior (MOI) of the Kingdom of Saudi Arabia and adheres to all local labor and security licensing requirements applicable in the Jeddah metropolitan area.</w:t>
      </w:r>
    </w:p>
    <w:bookmarkEnd w:id="21"/>
    <w:bookmarkStart w:id="22" w:name="Xc17cc5e5f5f5a28f62c6bccd33e547abca1dc55"/>
    <w:p>
      <w:pPr>
        <w:pStyle w:val="Heading2"/>
      </w:pPr>
      <w:r>
        <w:t xml:space="preserve">2. Scope of Services – Police Officer Deployment</w:t>
      </w:r>
    </w:p>
    <w:p>
      <w:pPr>
        <w:pStyle w:val="FirstParagraph"/>
      </w:pPr>
      <w:r>
        <w:t xml:space="preserve">The following Police Officer services are included within this Quotation Estimate for the client's facility in Saudi Arabia Jeddah:</w:t>
      </w:r>
    </w:p>
    <w:p>
      <w:pPr>
        <w:numPr>
          <w:ilvl w:val="0"/>
          <w:numId w:val="1001"/>
        </w:numPr>
        <w:pStyle w:val="Compact"/>
      </w:pPr>
      <w:r>
        <w:rPr>
          <w:bCs/>
          <w:b/>
        </w:rPr>
        <w:t xml:space="preserve">Perimeter Security Patrols:</w:t>
      </w:r>
      <w:r>
        <w:t xml:space="preserve"> </w:t>
      </w:r>
      <w:r>
        <w:t xml:space="preserve">A minimum of four (4) certified Police Officer personnel shall conduct continuous perimeter patrols of the client's compound, parking areas, and access points on a 24/7 rotational basis throughout the contract period in Jeddah, Saudi Arabia.</w:t>
      </w:r>
    </w:p>
    <w:p>
      <w:pPr>
        <w:numPr>
          <w:ilvl w:val="0"/>
          <w:numId w:val="1001"/>
        </w:numPr>
        <w:pStyle w:val="Compact"/>
      </w:pPr>
      <w:r>
        <w:rPr>
          <w:bCs/>
          <w:b/>
        </w:rPr>
        <w:t xml:space="preserve">Access Control &amp; Visitor Management:</w:t>
      </w:r>
      <w:r>
        <w:t xml:space="preserve"> </w:t>
      </w:r>
      <w:r>
        <w:t xml:space="preserve">Dedicated Police Officer staff shall manage all entry and exit points, verify visitor credentials, maintain visitor logs, and coordinate with local Jeddah municipal security authorities as required.</w:t>
      </w:r>
    </w:p>
    <w:p>
      <w:pPr>
        <w:numPr>
          <w:ilvl w:val="0"/>
          <w:numId w:val="1001"/>
        </w:numPr>
        <w:pStyle w:val="Compact"/>
      </w:pPr>
      <w:r>
        <w:rPr>
          <w:bCs/>
          <w:b/>
        </w:rPr>
        <w:t xml:space="preserve">Surveillance &amp; Monitoring:</w:t>
      </w:r>
      <w:r>
        <w:t xml:space="preserve"> </w:t>
      </w:r>
      <w:r>
        <w:t xml:space="preserve">Police Officer personnel shall operate and monitor CCTV systems, electronic access control panels, and alarm systems installed at the facility in Saudi Arabia Jeddah.</w:t>
      </w:r>
    </w:p>
    <w:p>
      <w:pPr>
        <w:numPr>
          <w:ilvl w:val="0"/>
          <w:numId w:val="1001"/>
        </w:numPr>
        <w:pStyle w:val="Compact"/>
      </w:pPr>
      <w:r>
        <w:rPr>
          <w:bCs/>
          <w:b/>
        </w:rPr>
        <w:t xml:space="preserve">Emergency Response Coordination:</w:t>
      </w:r>
      <w:r>
        <w:t xml:space="preserve"> </w:t>
      </w:r>
      <w:r>
        <w:t xml:space="preserve">In the event of a security incident, the on-site Police Officer team shall execute the approved emergency response protocol and liaise directly with the Jeddah Police Department and relevant Saudi Arabian emergency services.</w:t>
      </w:r>
    </w:p>
    <w:p>
      <w:pPr>
        <w:numPr>
          <w:ilvl w:val="0"/>
          <w:numId w:val="1001"/>
        </w:numPr>
        <w:pStyle w:val="Compact"/>
      </w:pPr>
      <w:r>
        <w:rPr>
          <w:bCs/>
          <w:b/>
        </w:rPr>
        <w:t xml:space="preserve">Reporting &amp; Documentation:</w:t>
      </w:r>
      <w:r>
        <w:t xml:space="preserve"> </w:t>
      </w:r>
      <w:r>
        <w:t xml:space="preserve">Daily incident reports, shift handover logs, and monthly security performance summaries shall be submitted to the client's designated security manager.</w:t>
      </w:r>
    </w:p>
    <w:p>
      <w:pPr>
        <w:numPr>
          <w:ilvl w:val="0"/>
          <w:numId w:val="1001"/>
        </w:numPr>
        <w:pStyle w:val="Compact"/>
      </w:pPr>
      <w:r>
        <w:rPr>
          <w:bCs/>
          <w:b/>
        </w:rPr>
        <w:t xml:space="preserve">Compliance &amp; Training:</w:t>
      </w:r>
      <w:r>
        <w:t xml:space="preserve"> </w:t>
      </w:r>
      <w:r>
        <w:t xml:space="preserve">All Police Officer personnel deployed shall hold valid Saudi Arabian security clearance certificates, Iqama (residency permit), and shall complete annual refresher training as mandated by the MOI for security operatives in Jeddah.</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(SAR)</w:t>
            </w:r>
          </w:p>
        </w:tc>
        <w:tc>
          <w:tcPr/>
          <w:p>
            <w:pPr>
              <w:pStyle w:val="Compact"/>
              <w:jc w:val="left"/>
            </w:pPr>
            <w:r>
              <w:t xml:space="preserve">Monthly Total (SAR)</w:t>
            </w:r>
          </w:p>
        </w:tc>
      </w:tr>
      <w:tr>
        <w:tc>
          <w:tcPr/>
          <w:p>
            <w:pPr>
              <w:pStyle w:val="Compact"/>
              <w:jc w:val="left"/>
            </w:pPr>
            <w:r>
              <w:t xml:space="preserve">01</w:t>
            </w:r>
          </w:p>
        </w:tc>
        <w:tc>
          <w:tcPr/>
          <w:p>
            <w:pPr>
              <w:pStyle w:val="Compact"/>
              <w:jc w:val="left"/>
            </w:pPr>
            <w:r>
              <w:t xml:space="preserve">Senior Police Officer – Team Supervisor (12-hour shift, 3 shifts/day)</w:t>
            </w:r>
          </w:p>
        </w:tc>
        <w:tc>
          <w:tcPr/>
          <w:p>
            <w:pPr>
              <w:pStyle w:val="Compact"/>
              <w:jc w:val="left"/>
            </w:pPr>
            <w:r>
              <w:t xml:space="preserve">3</w:t>
            </w:r>
          </w:p>
        </w:tc>
        <w:tc>
          <w:tcPr/>
          <w:p>
            <w:pPr>
              <w:pStyle w:val="Compact"/>
              <w:jc w:val="left"/>
            </w:pPr>
            <w:r>
              <w:t xml:space="preserve">8,500</w:t>
            </w:r>
          </w:p>
        </w:tc>
        <w:tc>
          <w:tcPr/>
          <w:p>
            <w:pPr>
              <w:pStyle w:val="Compact"/>
              <w:jc w:val="left"/>
            </w:pPr>
            <w:r>
              <w:t xml:space="preserve">25,500</w:t>
            </w:r>
          </w:p>
        </w:tc>
      </w:tr>
      <w:tr>
        <w:tc>
          <w:tcPr/>
          <w:p>
            <w:pPr>
              <w:pStyle w:val="Compact"/>
              <w:jc w:val="left"/>
            </w:pPr>
            <w:r>
              <w:t xml:space="preserve">02</w:t>
            </w:r>
          </w:p>
        </w:tc>
        <w:tc>
          <w:tcPr/>
          <w:p>
            <w:pPr>
              <w:pStyle w:val="Compact"/>
              <w:jc w:val="left"/>
            </w:pPr>
            <w:r>
              <w:t xml:space="preserve">Police Officer – Perimeter Patrol (12-hour shift, 3 shifts/day)</w:t>
            </w:r>
          </w:p>
        </w:tc>
        <w:tc>
          <w:tcPr/>
          <w:p>
            <w:pPr>
              <w:pStyle w:val="Compact"/>
              <w:jc w:val="left"/>
            </w:pPr>
            <w:r>
              <w:t xml:space="preserve">9</w:t>
            </w:r>
          </w:p>
        </w:tc>
        <w:tc>
          <w:tcPr/>
          <w:p>
            <w:pPr>
              <w:pStyle w:val="Compact"/>
              <w:jc w:val="left"/>
            </w:pPr>
            <w:r>
              <w:t xml:space="preserve">6,200</w:t>
            </w:r>
          </w:p>
        </w:tc>
        <w:tc>
          <w:tcPr/>
          <w:p>
            <w:pPr>
              <w:pStyle w:val="Compact"/>
              <w:jc w:val="left"/>
            </w:pPr>
            <w:r>
              <w:t xml:space="preserve">55,800</w:t>
            </w:r>
          </w:p>
        </w:tc>
      </w:tr>
      <w:tr>
        <w:tc>
          <w:tcPr/>
          <w:p>
            <w:pPr>
              <w:pStyle w:val="Compact"/>
              <w:jc w:val="left"/>
            </w:pPr>
            <w:r>
              <w:t xml:space="preserve">03</w:t>
            </w:r>
          </w:p>
        </w:tc>
        <w:tc>
          <w:tcPr/>
          <w:p>
            <w:pPr>
              <w:pStyle w:val="Compact"/>
              <w:jc w:val="left"/>
            </w:pPr>
            <w:r>
              <w:t xml:space="preserve">Police Officer – Access Control &amp; Reception (12-hour shift, 3 shifts/day)</w:t>
            </w:r>
          </w:p>
        </w:tc>
        <w:tc>
          <w:tcPr/>
          <w:p>
            <w:pPr>
              <w:pStyle w:val="Compact"/>
              <w:jc w:val="left"/>
            </w:pPr>
            <w:r>
              <w:t xml:space="preserve">3</w:t>
            </w:r>
          </w:p>
        </w:tc>
        <w:tc>
          <w:tcPr/>
          <w:p>
            <w:pPr>
              <w:pStyle w:val="Compact"/>
              <w:jc w:val="left"/>
            </w:pPr>
            <w:r>
              <w:t xml:space="preserve">5,800</w:t>
            </w:r>
          </w:p>
        </w:tc>
        <w:tc>
          <w:tcPr/>
          <w:p>
            <w:pPr>
              <w:pStyle w:val="Compact"/>
              <w:jc w:val="left"/>
            </w:pPr>
            <w:r>
              <w:t xml:space="preserve">17,400</w:t>
            </w:r>
          </w:p>
        </w:tc>
      </w:tr>
      <w:tr>
        <w:tc>
          <w:tcPr/>
          <w:p>
            <w:pPr>
              <w:pStyle w:val="Compact"/>
              <w:jc w:val="left"/>
            </w:pPr>
            <w:r>
              <w:t xml:space="preserve">04</w:t>
            </w:r>
          </w:p>
        </w:tc>
        <w:tc>
          <w:tcPr/>
          <w:p>
            <w:pPr>
              <w:pStyle w:val="Compact"/>
              <w:jc w:val="left"/>
            </w:pPr>
            <w:r>
              <w:t xml:space="preserve">Police Officer – CCTV Monitoring &amp; Control Room (12-hour shift, 3 shifts/day)</w:t>
            </w:r>
          </w:p>
        </w:tc>
        <w:tc>
          <w:tcPr/>
          <w:p>
            <w:pPr>
              <w:pStyle w:val="Compact"/>
              <w:jc w:val="left"/>
            </w:pPr>
            <w:r>
              <w:t xml:space="preserve">3</w:t>
            </w:r>
          </w:p>
        </w:tc>
        <w:tc>
          <w:tcPr/>
          <w:p>
            <w:pPr>
              <w:pStyle w:val="Compact"/>
              <w:jc w:val="left"/>
            </w:pPr>
            <w:r>
              <w:t xml:space="preserve">6,000</w:t>
            </w:r>
          </w:p>
        </w:tc>
        <w:tc>
          <w:tcPr/>
          <w:p>
            <w:pPr>
              <w:pStyle w:val="Compact"/>
              <w:jc w:val="left"/>
            </w:pPr>
            <w:r>
              <w:t xml:space="preserve">18,000</w:t>
            </w:r>
          </w:p>
        </w:tc>
      </w:tr>
      <w:tr>
        <w:tc>
          <w:tcPr/>
          <w:p>
            <w:pPr>
              <w:pStyle w:val="Compact"/>
              <w:jc w:val="left"/>
            </w:pPr>
            <w:r>
              <w:t xml:space="preserve">05</w:t>
            </w:r>
          </w:p>
        </w:tc>
        <w:tc>
          <w:tcPr/>
          <w:p>
            <w:pPr>
              <w:pStyle w:val="Compact"/>
              <w:jc w:val="left"/>
            </w:pPr>
            <w:r>
              <w:t xml:space="preserve">Uniforms, Equipment &amp; Communication Devices (Annual Provision)</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1,000</w:t>
            </w:r>
          </w:p>
        </w:tc>
      </w:tr>
      <w:tr>
        <w:tc>
          <w:tcPr/>
          <w:p>
            <w:pPr>
              <w:pStyle w:val="Compact"/>
              <w:jc w:val="left"/>
            </w:pPr>
            <w:r>
              <w:t xml:space="preserve">06</w:t>
            </w:r>
          </w:p>
        </w:tc>
        <w:tc>
          <w:tcPr/>
          <w:p>
            <w:pPr>
              <w:pStyle w:val="Compact"/>
              <w:jc w:val="left"/>
            </w:pPr>
            <w:r>
              <w:t xml:space="preserve">Security Clearance Renewals &amp; MOI Compliance Fees (Annual)</w:t>
            </w:r>
          </w:p>
        </w:tc>
        <w:tc>
          <w:tcPr/>
          <w:p>
            <w:pPr>
              <w:pStyle w:val="Compact"/>
              <w:jc w:val="left"/>
            </w:pPr>
            <w:r>
              <w:t xml:space="preserve">1</w:t>
            </w:r>
          </w:p>
        </w:tc>
        <w:tc>
          <w:tcPr/>
          <w:p>
            <w:pPr>
              <w:pStyle w:val="Compact"/>
              <w:jc w:val="left"/>
            </w:pPr>
            <w:r>
              <w:t xml:space="preserve">9,600</w:t>
            </w:r>
          </w:p>
        </w:tc>
        <w:tc>
          <w:tcPr/>
          <w:p>
            <w:pPr>
              <w:pStyle w:val="Compact"/>
              <w:jc w:val="left"/>
            </w:pPr>
            <w:r>
              <w:t xml:space="preserve">800</w:t>
            </w:r>
          </w:p>
        </w:tc>
      </w:tr>
      <w:tr>
        <w:tc>
          <w:tcPr/>
          <w:p>
            <w:pPr>
              <w:pStyle w:val="Compact"/>
              <w:jc w:val="left"/>
            </w:pPr>
            <w:r>
              <w:t xml:space="preserve">07</w:t>
            </w:r>
          </w:p>
        </w:tc>
        <w:tc>
          <w:tcPr/>
          <w:p>
            <w:pPr>
              <w:pStyle w:val="Compact"/>
              <w:jc w:val="left"/>
            </w:pPr>
            <w:r>
              <w:t xml:space="preserve">Transportation &amp; Duty Meals for Police Officer Staff</w:t>
            </w:r>
          </w:p>
        </w:tc>
        <w:tc>
          <w:tcPr/>
          <w:p>
            <w:pPr>
              <w:pStyle w:val="Compact"/>
              <w:jc w:val="left"/>
            </w:pPr>
            <w:r>
              <w:t xml:space="preserve">1</w:t>
            </w:r>
          </w:p>
        </w:tc>
        <w:tc>
          <w:tcPr/>
          <w:p>
            <w:pPr>
              <w:pStyle w:val="Compact"/>
              <w:jc w:val="left"/>
            </w:pPr>
            <w:r>
              <w:t xml:space="preserve">18,000</w:t>
            </w:r>
          </w:p>
        </w:tc>
        <w:tc>
          <w:tcPr/>
          <w:p>
            <w:pPr>
              <w:pStyle w:val="Compact"/>
              <w:jc w:val="left"/>
            </w:pPr>
            <w:r>
              <w:t xml:space="preserve">1,500</w:t>
            </w:r>
          </w:p>
        </w:tc>
      </w:tr>
      <w:tr>
        <w:tc>
          <w:tcPr/>
          <w:p>
            <w:pPr>
              <w:pStyle w:val="Compact"/>
              <w:jc w:val="left"/>
            </w:pPr>
            <w:r>
              <w:t xml:space="preserve">08</w:t>
            </w:r>
          </w:p>
        </w:tc>
        <w:tc>
          <w:tcPr/>
          <w:p>
            <w:pPr>
              <w:pStyle w:val="Compact"/>
              <w:jc w:val="left"/>
            </w:pPr>
            <w:r>
              <w:t xml:space="preserve">Management, Supervision &amp; Quality Assurance Overhead</w:t>
            </w:r>
          </w:p>
        </w:tc>
        <w:tc>
          <w:tcPr/>
          <w:p>
            <w:pPr>
              <w:pStyle w:val="Compact"/>
              <w:jc w:val="left"/>
            </w:pPr>
            <w:r>
              <w:t xml:space="preserve">1</w:t>
            </w:r>
          </w:p>
        </w:tc>
        <w:tc>
          <w:tcPr/>
          <w:p>
            <w:pPr>
              <w:pStyle w:val="Compact"/>
              <w:jc w:val="left"/>
            </w:pPr>
            <w:r>
              <w:t xml:space="preserve">24,000</w:t>
            </w:r>
          </w:p>
        </w:tc>
        <w:tc>
          <w:tcPr/>
          <w:p>
            <w:pPr>
              <w:pStyle w:val="Compact"/>
              <w:jc w:val="left"/>
            </w:pPr>
            <w:r>
              <w:t xml:space="preserve">2,000</w:t>
            </w:r>
          </w:p>
        </w:tc>
      </w:tr>
      <w:tr>
        <w:tc>
          <w:tcPr>
            <w:gridSpan w:val="4"/>
          </w:tcPr>
          <w:p>
            <w:pPr>
              <w:pStyle w:val="Compact"/>
              <w:jc w:val="left"/>
            </w:pPr>
            <w:r>
              <w:t xml:space="preserve">Subtotal (Monthly)</w:t>
            </w:r>
          </w:p>
        </w:tc>
        <w:tc>
          <w:tcPr/>
          <w:p>
            <w:pPr>
              <w:pStyle w:val="Compact"/>
              <w:jc w:val="left"/>
            </w:pPr>
            <w:r>
              <w:t xml:space="preserve">122,000</w:t>
            </w:r>
          </w:p>
        </w:tc>
      </w:tr>
      <w:tr>
        <w:tc>
          <w:tcPr>
            <w:gridSpan w:val="4"/>
          </w:tcPr>
          <w:p>
            <w:pPr>
              <w:pStyle w:val="Compact"/>
              <w:jc w:val="left"/>
            </w:pPr>
            <w:r>
              <w:t xml:space="preserve">VAT @ 15% (Saudi Arabia)</w:t>
            </w:r>
          </w:p>
        </w:tc>
        <w:tc>
          <w:tcPr/>
          <w:p>
            <w:pPr>
              <w:pStyle w:val="Compact"/>
              <w:jc w:val="left"/>
            </w:pPr>
            <w:r>
              <w:t xml:space="preserve">18,300</w:t>
            </w:r>
          </w:p>
        </w:tc>
      </w:tr>
      <w:tr>
        <w:tc>
          <w:tcPr>
            <w:gridSpan w:val="4"/>
          </w:tcPr>
          <w:p>
            <w:pPr>
              <w:pStyle w:val="Compact"/>
              <w:jc w:val="left"/>
            </w:pPr>
            <w:r>
              <w:rPr>
                <w:bCs/>
                <w:b/>
              </w:rPr>
              <w:t xml:space="preserve">Grand Total (Monthly, VAT Inclusive)</w:t>
            </w:r>
          </w:p>
        </w:tc>
        <w:tc>
          <w:tcPr/>
          <w:p>
            <w:pPr>
              <w:pStyle w:val="Compact"/>
              <w:jc w:val="left"/>
            </w:pPr>
            <w:r>
              <w:rPr>
                <w:bCs/>
                <w:b/>
              </w:rPr>
              <w:t xml:space="preserve">140,300</w:t>
            </w:r>
          </w:p>
        </w:tc>
      </w:tr>
      <w:tr>
        <w:tc>
          <w:tcPr>
            <w:gridSpan w:val="4"/>
          </w:tcPr>
          <w:p>
            <w:pPr>
              <w:pStyle w:val="Compact"/>
              <w:jc w:val="left"/>
            </w:pPr>
            <w:r>
              <w:rPr>
                <w:bCs/>
                <w:b/>
              </w:rPr>
              <w:t xml:space="preserve">Annual Total (12 Months, VAT Inclusive)</w:t>
            </w:r>
          </w:p>
        </w:tc>
        <w:tc>
          <w:tcPr/>
          <w:p>
            <w:pPr>
              <w:pStyle w:val="Compact"/>
              <w:jc w:val="left"/>
            </w:pPr>
            <w:r>
              <w:rPr>
                <w:bCs/>
                <w:b/>
              </w:rPr>
              <w:t xml:space="preserve">1,683,600</w:t>
            </w:r>
          </w:p>
        </w:tc>
      </w:tr>
    </w:tbl>
    <w:bookmarkEnd w:id="23"/>
    <w:bookmarkStart w:id="24" w:name="payment-terms"/>
    <w:p>
      <w:pPr>
        <w:pStyle w:val="Heading2"/>
      </w:pPr>
      <w:r>
        <w:t xml:space="preserve">4. Payment Terms</w:t>
      </w:r>
    </w:p>
    <w:p>
      <w:pPr>
        <w:numPr>
          <w:ilvl w:val="0"/>
          <w:numId w:val="1002"/>
        </w:numPr>
        <w:pStyle w:val="Compact"/>
      </w:pPr>
      <w:r>
        <w:t xml:space="preserve">Payment shall be made in advance on a monthly basis via bank transfer to the company's designated account in Jeddah, Saudi Arabia.</w:t>
      </w:r>
    </w:p>
    <w:p>
      <w:pPr>
        <w:numPr>
          <w:ilvl w:val="0"/>
          <w:numId w:val="1002"/>
        </w:numPr>
        <w:pStyle w:val="Compact"/>
      </w:pPr>
      <w:r>
        <w:t xml:space="preserve">A 10% advance deposit is required upon acceptance of this Quotation Estimate to initiate the recruitment and clearance verification of Police Officer personnel.</w:t>
      </w:r>
    </w:p>
    <w:p>
      <w:pPr>
        <w:numPr>
          <w:ilvl w:val="0"/>
          <w:numId w:val="1002"/>
        </w:numPr>
        <w:pStyle w:val="Compact"/>
      </w:pPr>
      <w:r>
        <w:t xml:space="preserve">Invoices are due within fifteen (15) calendar days of the first day of each service month.</w:t>
      </w:r>
    </w:p>
    <w:p>
      <w:pPr>
        <w:numPr>
          <w:ilvl w:val="0"/>
          <w:numId w:val="1002"/>
        </w:numPr>
        <w:pStyle w:val="Compact"/>
      </w:pPr>
      <w:r>
        <w:t xml:space="preserve">Late payments shall incur a penalty of 2% per month as per Saudi Arabian commercial law.</w:t>
      </w:r>
    </w:p>
    <w:bookmarkEnd w:id="24"/>
    <w:bookmarkStart w:id="25" w:name="terms-conditions"/>
    <w:p>
      <w:pPr>
        <w:pStyle w:val="Heading2"/>
      </w:pPr>
      <w:r>
        <w:t xml:space="preserve">5. Terms &amp; Conditions</w:t>
      </w:r>
    </w:p>
    <w:p>
      <w:pPr>
        <w:numPr>
          <w:ilvl w:val="0"/>
          <w:numId w:val="1003"/>
        </w:numPr>
        <w:pStyle w:val="Compact"/>
      </w:pPr>
      <w:r>
        <w:t xml:space="preserve">This Quotation Estimate is valid for thirty (30) days from the date of issue. Beyond this period, pricing may be subject to revision based on prevailing labor market conditions in Saudi Arabia Jeddah.</w:t>
      </w:r>
    </w:p>
    <w:p>
      <w:pPr>
        <w:numPr>
          <w:ilvl w:val="0"/>
          <w:numId w:val="1003"/>
        </w:numPr>
        <w:pStyle w:val="Compact"/>
      </w:pPr>
      <w:r>
        <w:t xml:space="preserve">All Police Officer personnel shall be employed in accordance with the Saudi Arabian Labor Law and shall hold valid work permits, Iqama, and MOI-issued security clearance certificates prior to deployment.</w:t>
      </w:r>
    </w:p>
    <w:p>
      <w:pPr>
        <w:numPr>
          <w:ilvl w:val="0"/>
          <w:numId w:val="1003"/>
        </w:numPr>
        <w:pStyle w:val="Compact"/>
      </w:pPr>
      <w:r>
        <w:t xml:space="preserve">The client reserves the right to request the replacement of any Police Officer personnel who fail to meet performance standards, with a written notice of no fewer than seventy-two (72) hours.</w:t>
      </w:r>
    </w:p>
    <w:p>
      <w:pPr>
        <w:numPr>
          <w:ilvl w:val="0"/>
          <w:numId w:val="1003"/>
        </w:numPr>
        <w:pStyle w:val="Compact"/>
      </w:pPr>
      <w:r>
        <w:t xml:space="preserve">Al-Sheikh Security &amp; Protection Services Co. Ltd. shall maintain comprehensive liability insurance covering all Police Officer personnel deployed at the client's site in Jeddah, Saudi Arabia.</w:t>
      </w:r>
    </w:p>
    <w:p>
      <w:pPr>
        <w:numPr>
          <w:ilvl w:val="0"/>
          <w:numId w:val="1003"/>
        </w:numPr>
        <w:pStyle w:val="Compact"/>
      </w:pPr>
      <w:r>
        <w:t xml:space="preserve">This Quotation Estimate does not constitute a binding contract until both parties have executed the formal Service Agreement in writing.</w:t>
      </w:r>
    </w:p>
    <w:p>
      <w:pPr>
        <w:numPr>
          <w:ilvl w:val="0"/>
          <w:numId w:val="1003"/>
        </w:numPr>
        <w:pStyle w:val="Compact"/>
      </w:pPr>
      <w:r>
        <w:t xml:space="preserve">Any modifications to the scope of Police Officer services, additional headcount, or extended operational hours must be documented in a formal amendment to this Quotation Estimate.</w:t>
      </w:r>
    </w:p>
    <w:bookmarkEnd w:id="25"/>
    <w:bookmarkStart w:id="26" w:name="acceptance-authorization"/>
    <w:p>
      <w:pPr>
        <w:pStyle w:val="Heading2"/>
      </w:pPr>
      <w:r>
        <w:t xml:space="preserve">6. Acceptance &amp; Authorization</w:t>
      </w:r>
    </w:p>
    <w:p>
      <w:pPr>
        <w:pStyle w:val="FirstParagraph"/>
      </w:pPr>
      <w:r>
        <w:rPr>
          <w:bCs/>
          <w:b/>
        </w:rPr>
        <w:t xml:space="preserve">For Al-Sheikh Security &amp; Protection Services Co. Ltd.</w:t>
      </w:r>
    </w:p>
    <w:p>
      <w:pPr>
        <w:pStyle w:val="BodyText"/>
      </w:pPr>
      <w:r>
        <w:t xml:space="preserve">Authorized Signatory</w:t>
      </w:r>
    </w:p>
    <w:p>
      <w:pPr>
        <w:pStyle w:val="BodyText"/>
      </w:pPr>
      <w:r>
        <w:t xml:space="preserve">Name: Khalid Al-Rashid</w:t>
      </w:r>
      <w:r>
        <w:br/>
      </w:r>
      <w:r>
        <w:t xml:space="preserve">Position: General Manager</w:t>
      </w:r>
      <w:r>
        <w:br/>
      </w:r>
      <w:r>
        <w:t xml:space="preserve">Date: _______________</w:t>
      </w:r>
    </w:p>
    <w:p>
      <w:pPr>
        <w:pStyle w:val="BodyText"/>
      </w:pPr>
      <w:r>
        <w:rPr>
          <w:bCs/>
          <w:b/>
        </w:rPr>
        <w:t xml:space="preserve">For the Client</w:t>
      </w:r>
    </w:p>
    <w:p>
      <w:pPr>
        <w:pStyle w:val="BodyText"/>
      </w:pPr>
      <w:r>
        <w:t xml:space="preserve">Authorized Signatory</w:t>
      </w:r>
    </w:p>
    <w:p>
      <w:pPr>
        <w:pStyle w:val="BodyText"/>
      </w:pPr>
      <w:r>
        <w:t xml:space="preserve">Name: _________________________</w:t>
      </w:r>
      <w:r>
        <w:br/>
      </w:r>
      <w:r>
        <w:t xml:space="preserve">Position: _________________________</w:t>
      </w:r>
      <w:r>
        <w:br/>
      </w:r>
      <w:r>
        <w:t xml:space="preserve">Date: _______________</w:t>
      </w:r>
    </w:p>
    <w:p>
      <w:pPr>
        <w:pStyle w:val="BodyText"/>
      </w:pPr>
      <w:r>
        <w:rPr>
          <w:bCs/>
          <w:b/>
        </w:rPr>
        <w:t xml:space="preserve">Important Notice:</w:t>
      </w:r>
      <w:r>
        <w:t xml:space="preserve"> </w:t>
      </w:r>
      <w:r>
        <w:t xml:space="preserve">This Quotation Estimate is prepared exclusively for the client named above and is not transferable. All services described herein are subject to approval by the Jeddah Regional Security Directorate and the Ministry of Interior of the Kingdom of Saudi Arabia. Al-Sheikh Security &amp; Protection Services Co. Ltd. is a fully licensed security provider registered with the MOI and operates in full compliance with all Saudi Arabian federal and municipal regulations governing Police Officer and security personnel deployment in Jeddah.</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Police Officer Services - Saudi Arabia Jeddah</dc:title>
  <dc:creator/>
  <dc:language>en</dc:language>
  <cp:keywords/>
  <dcterms:created xsi:type="dcterms:W3CDTF">2026-10-10T05:09:43Z</dcterms:created>
  <dcterms:modified xsi:type="dcterms:W3CDTF">2026-10-10T05:09:43Z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