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Politician</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Political Consulting &amp; Public Engagement Services</w:t>
      </w:r>
    </w:p>
    <w:p>
      <w:pPr>
        <w:pStyle w:val="BodyText"/>
      </w:pPr>
      <w:r>
        <w:rPr>
          <w:bCs/>
          <w:b/>
        </w:rPr>
        <w:t xml:space="preserve">Meridian Political Advisory Group S.R.L.</w:t>
      </w:r>
      <w:r>
        <w:br/>
      </w:r>
      <w:r>
        <w:t xml:space="preserve">Av. Corrientes 1250, Piso 8, C1043AAB, Buenos Aires, Argentina</w:t>
      </w:r>
      <w:r>
        <w:br/>
      </w:r>
      <w:r>
        <w:t xml:space="preserve">Tel: +54 11 4321-5678 | Email: estimates@meridianpolitical.ar</w:t>
      </w:r>
      <w:r>
        <w:br/>
      </w:r>
      <w:r>
        <w:t xml:space="preserve">CUIT: 30-71234567-8</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QTE-2025-BA-00487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Argentine Peso (ARS) / USD</w:t>
            </w:r>
          </w:p>
        </w:tc>
      </w:tr>
      <w:tr>
        <w:tc>
          <w:tcPr/>
          <w:p>
            <w:pPr>
              <w:pStyle w:val="Compact"/>
              <w:jc w:val="left"/>
            </w:pPr>
            <w:r>
              <w:t xml:space="preserve">Prepared For:</w:t>
            </w:r>
          </w:p>
        </w:tc>
        <w:tc>
          <w:tcPr>
            <w:gridSpan w:val="3"/>
          </w:tcPr>
          <w:p>
            <w:pPr>
              <w:pStyle w:val="Compact"/>
              <w:jc w:val="left"/>
            </w:pPr>
            <w:r>
              <w:t xml:space="preserve">Hon. Senator Ricardo A. Fernández – Office of the Politician, Legislative Palace, Buenos Aires, Argentina</w:t>
            </w:r>
          </w:p>
        </w:tc>
      </w:tr>
      <w:tr>
        <w:tc>
          <w:tcPr/>
          <w:p>
            <w:pPr>
              <w:pStyle w:val="Compact"/>
              <w:jc w:val="left"/>
            </w:pPr>
            <w:r>
              <w:t xml:space="preserve">Project Reference:</w:t>
            </w:r>
          </w:p>
        </w:tc>
        <w:tc>
          <w:tcPr>
            <w:gridSpan w:val="3"/>
          </w:tcPr>
          <w:p>
            <w:pPr>
              <w:pStyle w:val="Compact"/>
              <w:jc w:val="left"/>
            </w:pPr>
            <w:r>
              <w:t xml:space="preserve">Comprehensive Political Strategy &amp; Public Engagement Program – 2025 Election Cycle, Province of Buenos Aires</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Meridian Political Advisory Group S.R.L. to provide a detailed, itemized breakdown of professional services to be rendered in support of a</w:t>
      </w:r>
      <w:r>
        <w:t xml:space="preserve"> </w:t>
      </w:r>
      <w:r>
        <w:t xml:space="preserve">Politician</w:t>
      </w:r>
      <w:r>
        <w:t xml:space="preserve"> </w:t>
      </w:r>
      <w:r>
        <w:t xml:space="preserve">operating within the jurisdiction of</w:t>
      </w:r>
      <w:r>
        <w:t xml:space="preserve"> </w:t>
      </w:r>
      <w:r>
        <w:t xml:space="preserve">Argentina Buenos Aires</w:t>
      </w:r>
      <w:r>
        <w:t xml:space="preserve">. The scope of this engagement encompasses strategic political consulting, public relations management, media coordination, event planning, and voter outreach initiatives tailored specifically to the political landscape of the Buenos Aires metropolitan area and the broader Province of Buenos Aires.</w:t>
      </w:r>
    </w:p>
    <w:p>
      <w:pPr>
        <w:pStyle w:val="BodyText"/>
      </w:pPr>
      <w:r>
        <w:t xml:space="preserve">The</w:t>
      </w:r>
      <w:r>
        <w:t xml:space="preserve"> </w:t>
      </w:r>
      <w:r>
        <w:t xml:space="preserve">Politician</w:t>
      </w:r>
      <w:r>
        <w:t xml:space="preserve"> </w:t>
      </w:r>
      <w:r>
        <w:t xml:space="preserve">for whom this</w:t>
      </w:r>
      <w:r>
        <w:t xml:space="preserve"> </w:t>
      </w:r>
      <w:r>
        <w:t xml:space="preserve">Quotation Estimate</w:t>
      </w:r>
      <w:r>
        <w:t xml:space="preserve"> </w:t>
      </w:r>
      <w:r>
        <w:t xml:space="preserve">is prepared is currently serving as a Senator in the Argentine National Congress and is preparing for the upcoming 2025 provincial and national elections. All services outlined herein are designed to comply with the electoral regulations established by the National Electoral Court (Justicia Nacional Electoral) of Argentina and the applicable campaign finance laws of the Province of Buenos Aires.</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Cost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rPr>
                <w:bCs/>
                <w:b/>
              </w:rPr>
              <w:t xml:space="preserve">Strategic Political Consulting:</w:t>
            </w:r>
            <w:r>
              <w:t xml:space="preserve"> </w:t>
            </w:r>
            <w:r>
              <w:t xml:space="preserve">Development of a comprehensive campaign strategy for the</w:t>
            </w:r>
            <w:r>
              <w:t xml:space="preserve"> </w:t>
            </w:r>
            <w:r>
              <w:t xml:space="preserve">Politician</w:t>
            </w:r>
            <w:r>
              <w:t xml:space="preserve">, including voter demographic analysis, polling interpretation, messaging framework, and competitive positioning within the</w:t>
            </w:r>
            <w:r>
              <w:t xml:space="preserve"> </w:t>
            </w:r>
            <w:r>
              <w:t xml:space="preserve">Argentina Buenos Aires</w:t>
            </w:r>
            <w:r>
              <w:t xml:space="preserve"> </w:t>
            </w:r>
            <w:r>
              <w:t xml:space="preserve">political arena. Weekly strategy sessions with the Politician and senior campaign staff.</w:t>
            </w:r>
          </w:p>
        </w:tc>
        <w:tc>
          <w:tcPr/>
          <w:p>
            <w:pPr>
              <w:pStyle w:val="Compact"/>
              <w:jc w:val="left"/>
            </w:pPr>
            <w:r>
              <w:t xml:space="preserve">12 months (48 sessions)</w:t>
            </w:r>
          </w:p>
        </w:tc>
        <w:tc>
          <w:tcPr/>
          <w:p>
            <w:pPr>
              <w:pStyle w:val="Compact"/>
              <w:jc w:val="left"/>
            </w:pPr>
            <w:r>
              <w:t xml:space="preserve">185,000</w:t>
            </w:r>
          </w:p>
        </w:tc>
        <w:tc>
          <w:tcPr/>
          <w:p>
            <w:pPr>
              <w:pStyle w:val="Compact"/>
              <w:jc w:val="left"/>
            </w:pPr>
            <w:r>
              <w:t xml:space="preserve">8,880,000</w:t>
            </w:r>
          </w:p>
        </w:tc>
      </w:tr>
      <w:tr>
        <w:tc>
          <w:tcPr/>
          <w:p>
            <w:pPr>
              <w:pStyle w:val="Compact"/>
              <w:jc w:val="left"/>
            </w:pPr>
            <w:r>
              <w:t xml:space="preserve">02</w:t>
            </w:r>
          </w:p>
        </w:tc>
        <w:tc>
          <w:tcPr/>
          <w:p>
            <w:pPr>
              <w:pStyle w:val="Compact"/>
              <w:jc w:val="left"/>
            </w:pPr>
            <w:r>
              <w:rPr>
                <w:bCs/>
                <w:b/>
              </w:rPr>
              <w:t xml:space="preserve">Public Relations &amp; Media Management:</w:t>
            </w:r>
            <w:r>
              <w:t xml:space="preserve"> </w:t>
            </w:r>
            <w:r>
              <w:t xml:space="preserve">Full-spectrum media relations for the</w:t>
            </w:r>
            <w:r>
              <w:t xml:space="preserve"> </w:t>
            </w:r>
            <w:r>
              <w:t xml:space="preserve">Politician</w:t>
            </w:r>
            <w:r>
              <w:t xml:space="preserve">, including press conference coordination, media training, op-ed placement, television and radio appearance scheduling, and crisis communications protocol. Coverage of all major outlets in</w:t>
            </w:r>
            <w:r>
              <w:t xml:space="preserve"> </w:t>
            </w:r>
            <w:r>
              <w:t xml:space="preserve">Argentina Buenos Aires</w:t>
            </w:r>
            <w:r>
              <w:t xml:space="preserve"> </w:t>
            </w:r>
            <w:r>
              <w:t xml:space="preserve">(La Nación, Clarín, TN, C5N, Radio Mitre, etc.).</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03</w:t>
            </w:r>
          </w:p>
        </w:tc>
        <w:tc>
          <w:tcPr/>
          <w:p>
            <w:pPr>
              <w:pStyle w:val="Compact"/>
              <w:jc w:val="left"/>
            </w:pPr>
            <w:r>
              <w:rPr>
                <w:bCs/>
                <w:b/>
              </w:rPr>
              <w:t xml:space="preserve">Public Event Planning &amp; Execution:</w:t>
            </w:r>
            <w:r>
              <w:t xml:space="preserve"> </w:t>
            </w:r>
            <w:r>
              <w:t xml:space="preserve">Organization and management of up to 24 public rallies, town halls, and community engagement events across the Province of Buenos Aires. Includes venue coordination, security planning, AV production, volunteer management, and post-event reporting for the</w:t>
            </w:r>
            <w:r>
              <w:t xml:space="preserve"> </w:t>
            </w:r>
            <w:r>
              <w:t xml:space="preserve">Politician</w:t>
            </w:r>
            <w:r>
              <w:t xml:space="preserve">.</w:t>
            </w:r>
          </w:p>
        </w:tc>
        <w:tc>
          <w:tcPr/>
          <w:p>
            <w:pPr>
              <w:pStyle w:val="Compact"/>
              <w:jc w:val="left"/>
            </w:pPr>
            <w:r>
              <w:t xml:space="preserve">24 events</w:t>
            </w:r>
          </w:p>
        </w:tc>
        <w:tc>
          <w:tcPr/>
          <w:p>
            <w:pPr>
              <w:pStyle w:val="Compact"/>
              <w:jc w:val="left"/>
            </w:pPr>
            <w:r>
              <w:t xml:space="preserve">1,250,000</w:t>
            </w:r>
          </w:p>
        </w:tc>
        <w:tc>
          <w:tcPr/>
          <w:p>
            <w:pPr>
              <w:pStyle w:val="Compact"/>
              <w:jc w:val="left"/>
            </w:pPr>
            <w:r>
              <w:t xml:space="preserve">30,000,000</w:t>
            </w:r>
          </w:p>
        </w:tc>
      </w:tr>
      <w:tr>
        <w:tc>
          <w:tcPr/>
          <w:p>
            <w:pPr>
              <w:pStyle w:val="Compact"/>
              <w:jc w:val="left"/>
            </w:pPr>
            <w:r>
              <w:t xml:space="preserve">04</w:t>
            </w:r>
          </w:p>
        </w:tc>
        <w:tc>
          <w:tcPr/>
          <w:p>
            <w:pPr>
              <w:pStyle w:val="Compact"/>
              <w:jc w:val="left"/>
            </w:pPr>
            <w:r>
              <w:rPr>
                <w:bCs/>
                <w:b/>
              </w:rPr>
              <w:t xml:space="preserve">Digital Campaign &amp; Social Media Strategy:</w:t>
            </w:r>
            <w:r>
              <w:t xml:space="preserve"> </w:t>
            </w:r>
            <w:r>
              <w:t xml:space="preserve">End-to-end digital presence management for the</w:t>
            </w:r>
            <w:r>
              <w:t xml:space="preserve"> </w:t>
            </w:r>
            <w:r>
              <w:t xml:space="preserve">Politician</w:t>
            </w:r>
            <w:r>
              <w:t xml:space="preserve">, including website development, social media content creation (Facebook, X/Twitter, Instagram, YouTube), paid digital advertising campaigns targeting voters in</w:t>
            </w:r>
            <w:r>
              <w:t xml:space="preserve"> </w:t>
            </w:r>
            <w:r>
              <w:t xml:space="preserve">Argentina Buenos Aires</w:t>
            </w:r>
            <w:r>
              <w:t xml:space="preserve">, email marketing, and data analytics dashboards.</w:t>
            </w:r>
          </w:p>
        </w:tc>
        <w:tc>
          <w:tcPr/>
          <w:p>
            <w:pPr>
              <w:pStyle w:val="Compact"/>
              <w:jc w:val="left"/>
            </w:pPr>
            <w:r>
              <w:t xml:space="preserve">12 months</w:t>
            </w:r>
          </w:p>
        </w:tc>
        <w:tc>
          <w:tcPr/>
          <w:p>
            <w:pPr>
              <w:pStyle w:val="Compact"/>
              <w:jc w:val="left"/>
            </w:pPr>
            <w:r>
              <w:t xml:space="preserve">275,000</w:t>
            </w:r>
          </w:p>
        </w:tc>
        <w:tc>
          <w:tcPr/>
          <w:p>
            <w:pPr>
              <w:pStyle w:val="Compact"/>
              <w:jc w:val="left"/>
            </w:pPr>
            <w:r>
              <w:t xml:space="preserve">3,300,000</w:t>
            </w:r>
          </w:p>
        </w:tc>
      </w:tr>
      <w:tr>
        <w:tc>
          <w:tcPr/>
          <w:p>
            <w:pPr>
              <w:pStyle w:val="Compact"/>
              <w:jc w:val="left"/>
            </w:pPr>
            <w:r>
              <w:t xml:space="preserve">05</w:t>
            </w:r>
          </w:p>
        </w:tc>
        <w:tc>
          <w:tcPr/>
          <w:p>
            <w:pPr>
              <w:pStyle w:val="Compact"/>
              <w:jc w:val="left"/>
            </w:pPr>
            <w:r>
              <w:rPr>
                <w:bCs/>
                <w:b/>
              </w:rPr>
              <w:t xml:space="preserve">Policy Research &amp; Speechwriting:</w:t>
            </w:r>
            <w:r>
              <w:t xml:space="preserve"> </w:t>
            </w:r>
            <w:r>
              <w:t xml:space="preserve">Ongoing policy research, legislative briefing documents, and professional speechwriting for the</w:t>
            </w:r>
            <w:r>
              <w:t xml:space="preserve"> </w:t>
            </w:r>
            <w:r>
              <w:t xml:space="preserve">Politician</w:t>
            </w:r>
            <w:r>
              <w:t xml:space="preserve">. Includes preparation of platform documents, debate preparation, and legislative testimony support relevant to the</w:t>
            </w:r>
            <w:r>
              <w:t xml:space="preserve"> </w:t>
            </w:r>
            <w:r>
              <w:t xml:space="preserve">Argentina Buenos Aires</w:t>
            </w:r>
            <w:r>
              <w:t xml:space="preserve"> </w:t>
            </w:r>
            <w:r>
              <w:t xml:space="preserve">constituency.</w:t>
            </w:r>
          </w:p>
        </w:tc>
        <w:tc>
          <w:tcPr/>
          <w:p>
            <w:pPr>
              <w:pStyle w:val="Compact"/>
              <w:jc w:val="left"/>
            </w:pPr>
            <w:r>
              <w:t xml:space="preserve">12 months (60 deliverables)</w:t>
            </w:r>
          </w:p>
        </w:tc>
        <w:tc>
          <w:tcPr/>
          <w:p>
            <w:pPr>
              <w:pStyle w:val="Compact"/>
              <w:jc w:val="left"/>
            </w:pPr>
            <w:r>
              <w:t xml:space="preserve">95,000</w:t>
            </w:r>
          </w:p>
        </w:tc>
        <w:tc>
          <w:tcPr/>
          <w:p>
            <w:pPr>
              <w:pStyle w:val="Compact"/>
              <w:jc w:val="left"/>
            </w:pPr>
            <w:r>
              <w:t xml:space="preserve">5,700,000</w:t>
            </w:r>
          </w:p>
        </w:tc>
      </w:tr>
      <w:tr>
        <w:tc>
          <w:tcPr/>
          <w:p>
            <w:pPr>
              <w:pStyle w:val="Compact"/>
              <w:jc w:val="left"/>
            </w:pPr>
            <w:r>
              <w:t xml:space="preserve">06</w:t>
            </w:r>
          </w:p>
        </w:tc>
        <w:tc>
          <w:tcPr/>
          <w:p>
            <w:pPr>
              <w:pStyle w:val="Compact"/>
              <w:jc w:val="left"/>
            </w:pPr>
            <w:r>
              <w:rPr>
                <w:bCs/>
                <w:b/>
              </w:rPr>
              <w:t xml:space="preserve">Voter Outreach &amp; Field Operations:</w:t>
            </w:r>
            <w:r>
              <w:t xml:space="preserve"> </w:t>
            </w:r>
            <w:r>
              <w:t xml:space="preserve">Deployment and management of a field team of 120 trained volunteers for door-to-door canvassing, phone banking, and community organizing across 12 key electoral districts in</w:t>
            </w:r>
            <w:r>
              <w:t xml:space="preserve"> </w:t>
            </w:r>
            <w:r>
              <w:t xml:space="preserve">Argentina Buenos Aires</w:t>
            </w:r>
            <w:r>
              <w:t xml:space="preserve">. Includes CRM software licensing, training, and weekly performance reporting to the</w:t>
            </w:r>
            <w:r>
              <w:t xml:space="preserve"> </w:t>
            </w:r>
            <w:r>
              <w:t xml:space="preserve">Politician</w:t>
            </w:r>
            <w:r>
              <w:t xml:space="preserve">'s office.</w:t>
            </w:r>
          </w:p>
        </w:tc>
        <w:tc>
          <w:tcPr/>
          <w:p>
            <w:pPr>
              <w:pStyle w:val="Compact"/>
              <w:jc w:val="left"/>
            </w:pPr>
            <w:r>
              <w:t xml:space="preserve">8 months (peak season)</w:t>
            </w:r>
          </w:p>
        </w:tc>
        <w:tc>
          <w:tcPr/>
          <w:p>
            <w:pPr>
              <w:pStyle w:val="Compact"/>
              <w:jc w:val="left"/>
            </w:pPr>
            <w:r>
              <w:t xml:space="preserve">410,000</w:t>
            </w:r>
          </w:p>
        </w:tc>
        <w:tc>
          <w:tcPr/>
          <w:p>
            <w:pPr>
              <w:pStyle w:val="Compact"/>
              <w:jc w:val="left"/>
            </w:pPr>
            <w:r>
              <w:t xml:space="preserve">3,280,000</w:t>
            </w:r>
          </w:p>
        </w:tc>
      </w:tr>
      <w:tr>
        <w:tc>
          <w:tcPr/>
          <w:p>
            <w:pPr>
              <w:pStyle w:val="Compact"/>
              <w:jc w:val="left"/>
            </w:pPr>
            <w:r>
              <w:t xml:space="preserve">07</w:t>
            </w:r>
          </w:p>
        </w:tc>
        <w:tc>
          <w:tcPr/>
          <w:p>
            <w:pPr>
              <w:pStyle w:val="Compact"/>
              <w:jc w:val="left"/>
            </w:pPr>
            <w:r>
              <w:rPr>
                <w:bCs/>
                <w:b/>
              </w:rPr>
              <w:t xml:space="preserve">Legal &amp; Electoral Compliance Advisory:</w:t>
            </w:r>
            <w:r>
              <w:t xml:space="preserve"> </w:t>
            </w:r>
            <w:r>
              <w:t xml:space="preserve">Retainer for a dedicated electoral law attorney to ensure all campaign activities of the</w:t>
            </w:r>
            <w:r>
              <w:t xml:space="preserve"> </w:t>
            </w:r>
            <w:r>
              <w:t xml:space="preserve">Politician</w:t>
            </w:r>
            <w:r>
              <w:t xml:space="preserve"> </w:t>
            </w:r>
            <w:r>
              <w:t xml:space="preserve">comply with Argentine electoral law, the National Electoral Court's regulations, and the campaign finance reporting requirements applicable in</w:t>
            </w:r>
            <w:r>
              <w:t xml:space="preserve"> </w:t>
            </w:r>
            <w:r>
              <w:t xml:space="preserve">Argentina Buenos Aires</w:t>
            </w:r>
            <w:r>
              <w:t xml:space="preserve">.</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08</w:t>
            </w:r>
          </w:p>
        </w:tc>
        <w:tc>
          <w:tcPr/>
          <w:p>
            <w:pPr>
              <w:pStyle w:val="Compact"/>
              <w:jc w:val="left"/>
            </w:pPr>
            <w:r>
              <w:rPr>
                <w:bCs/>
                <w:b/>
              </w:rPr>
              <w:t xml:space="preserve">Debate Preparation &amp; Media Training:</w:t>
            </w:r>
            <w:r>
              <w:t xml:space="preserve"> </w:t>
            </w:r>
            <w:r>
              <w:t xml:space="preserve">Intensive preparation sessions for televised debates, press interviews, and public Q&amp;A events. Includes mock debates, media simulation exercises, and real-time advisory support during live appearances for the</w:t>
            </w:r>
            <w:r>
              <w:t xml:space="preserve"> </w:t>
            </w:r>
            <w:r>
              <w:t xml:space="preserve">Politician</w:t>
            </w:r>
            <w:r>
              <w:t xml:space="preserve">.</w:t>
            </w:r>
          </w:p>
        </w:tc>
        <w:tc>
          <w:tcPr/>
          <w:p>
            <w:pPr>
              <w:pStyle w:val="Compact"/>
              <w:jc w:val="left"/>
            </w:pPr>
            <w:r>
              <w:t xml:space="preserve">16 sessions</w:t>
            </w:r>
          </w:p>
        </w:tc>
        <w:tc>
          <w:tcPr/>
          <w:p>
            <w:pPr>
              <w:pStyle w:val="Compact"/>
              <w:jc w:val="left"/>
            </w:pPr>
            <w:r>
              <w:t xml:space="preserve">120,000</w:t>
            </w:r>
          </w:p>
        </w:tc>
        <w:tc>
          <w:tcPr/>
          <w:p>
            <w:pPr>
              <w:pStyle w:val="Compact"/>
              <w:jc w:val="left"/>
            </w:pPr>
            <w:r>
              <w:t xml:space="preserve">1,920,000</w:t>
            </w:r>
          </w:p>
        </w:tc>
      </w:tr>
    </w:tbl>
    <w:bookmarkEnd w:id="22"/>
    <w:bookmarkStart w:id="23" w:name="financial-summary"/>
    <w:p>
      <w:pPr>
        <w:pStyle w:val="Heading2"/>
      </w:pPr>
      <w:r>
        <w:t xml:space="preserve">3. Financial Summary</w:t>
      </w:r>
    </w:p>
    <w:tbl>
      <w:tblPr>
        <w:tblStyle w:val="Table"/>
        <w:tblW w:type="auto" w:w="0"/>
        <w:tblLook w:firstRow="0" w:lastRow="0" w:firstColumn="0" w:lastColumn="0" w:noHBand="0" w:noVBand="0" w:val="0000"/>
      </w:tblPr>
      <w:tblGrid>
        <w:gridCol w:w="1584"/>
        <w:gridCol w:w="1584"/>
        <w:gridCol w:w="1584"/>
        <w:gridCol w:w="1584"/>
        <w:gridCol w:w="1584"/>
      </w:tblGrid>
      <w:tr>
        <w:tc>
          <w:tcPr>
            <w:gridSpan w:val="4"/>
          </w:tcPr>
          <w:p>
            <w:pPr>
              <w:pStyle w:val="Compact"/>
              <w:jc w:val="right"/>
            </w:pPr>
            <w:r>
              <w:t xml:space="preserve">Subtotal (Items 01–08):</w:t>
            </w:r>
          </w:p>
        </w:tc>
        <w:tc>
          <w:tcPr/>
          <w:p>
            <w:pPr>
              <w:pStyle w:val="Compact"/>
              <w:jc w:val="left"/>
            </w:pPr>
            <w:r>
              <w:t xml:space="preserve">58,720,000 ARS</w:t>
            </w:r>
          </w:p>
        </w:tc>
      </w:tr>
      <w:tr>
        <w:tc>
          <w:tcPr>
            <w:gridSpan w:val="4"/>
          </w:tcPr>
          <w:p>
            <w:pPr>
              <w:pStyle w:val="Compact"/>
              <w:jc w:val="right"/>
            </w:pPr>
            <w:r>
              <w:t xml:space="preserve">Applicable VAT (IVA) – 21%:</w:t>
            </w:r>
          </w:p>
        </w:tc>
        <w:tc>
          <w:tcPr/>
          <w:p>
            <w:pPr>
              <w:pStyle w:val="Compact"/>
              <w:jc w:val="left"/>
            </w:pPr>
            <w:r>
              <w:t xml:space="preserve">12,331,200 ARS</w:t>
            </w:r>
          </w:p>
        </w:tc>
      </w:tr>
      <w:tr>
        <w:tc>
          <w:tcPr>
            <w:gridSpan w:val="4"/>
          </w:tcPr>
          <w:p>
            <w:pPr>
              <w:pStyle w:val="Compact"/>
              <w:jc w:val="right"/>
            </w:pPr>
            <w:r>
              <w:t xml:space="preserve">TOTAL QUOTATION ESTIMATE:</w:t>
            </w:r>
          </w:p>
        </w:tc>
        <w:tc>
          <w:tcPr/>
          <w:p>
            <w:pPr>
              <w:pStyle w:val="Compact"/>
              <w:jc w:val="left"/>
            </w:pPr>
            <w:r>
              <w:t xml:space="preserve">71,051,200 ARS</w:t>
            </w:r>
          </w:p>
        </w:tc>
      </w:tr>
      <w:tr>
        <w:tc>
          <w:tcPr>
            <w:gridSpan w:val="4"/>
          </w:tcPr>
          <w:p>
            <w:pPr>
              <w:pStyle w:val="Compact"/>
              <w:jc w:val="right"/>
            </w:pPr>
            <w:r>
              <w:t xml:space="preserve">Approximate USD Equivalent (at ARS 1,050/USD):</w:t>
            </w:r>
          </w:p>
        </w:tc>
        <w:tc>
          <w:tcPr/>
          <w:p>
            <w:pPr>
              <w:pStyle w:val="Compact"/>
              <w:jc w:val="left"/>
            </w:pPr>
            <w:r>
              <w:t xml:space="preserve">USD 67,668</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this period, all pricing is subject to revision due to market fluctuations in the</w:t>
      </w:r>
      <w:r>
        <w:t xml:space="preserve"> </w:t>
      </w:r>
      <w:r>
        <w:t xml:space="preserve">Argentina Buenos Aires</w:t>
      </w:r>
      <w:r>
        <w:t xml:space="preserve"> </w:t>
      </w:r>
      <w:r>
        <w:t xml:space="preserve">service economy.</w:t>
      </w:r>
    </w:p>
    <w:p>
      <w:pPr>
        <w:numPr>
          <w:ilvl w:val="0"/>
          <w:numId w:val="1001"/>
        </w:numPr>
        <w:pStyle w:val="Compact"/>
      </w:pPr>
      <w:r>
        <w:rPr>
          <w:bCs/>
          <w:b/>
        </w:rPr>
        <w:t xml:space="preserve">Payment Terms:</w:t>
      </w:r>
      <w:r>
        <w:t xml:space="preserve"> </w:t>
      </w:r>
      <w:r>
        <w:t xml:space="preserve">Payment shall be made in four (4) equal quarterly installments, due on the 5th business day of each quarter. Late payments shall accrue interest at the rate established by the Central Bank of Argentina (BCRA) for overdue commercial obligations.</w:t>
      </w:r>
    </w:p>
    <w:p>
      <w:pPr>
        <w:numPr>
          <w:ilvl w:val="0"/>
          <w:numId w:val="1001"/>
        </w:numPr>
        <w:pStyle w:val="Compact"/>
      </w:pPr>
      <w:r>
        <w:rPr>
          <w:bCs/>
          <w:b/>
        </w:rPr>
        <w:t xml:space="preserve">Scope Changes:</w:t>
      </w:r>
      <w:r>
        <w:t xml:space="preserve"> </w:t>
      </w:r>
      <w:r>
        <w:t xml:space="preserve">Any modification to the services outlined in this</w:t>
      </w:r>
      <w:r>
        <w:t xml:space="preserve"> </w:t>
      </w:r>
      <w:r>
        <w:t xml:space="preserve">Quotation Estimate</w:t>
      </w:r>
      <w:r>
        <w:t xml:space="preserve"> </w:t>
      </w:r>
      <w:r>
        <w:t xml:space="preserve">must be agreed upon in writing by both parties. Additional services requested by the</w:t>
      </w:r>
      <w:r>
        <w:t xml:space="preserve"> </w:t>
      </w:r>
      <w:r>
        <w:t xml:space="preserve">Politician</w:t>
      </w:r>
      <w:r>
        <w:t xml:space="preserve">'s office beyond the original scope will be billed separately at the rates specified herein.</w:t>
      </w:r>
    </w:p>
    <w:p>
      <w:pPr>
        <w:numPr>
          <w:ilvl w:val="0"/>
          <w:numId w:val="1001"/>
        </w:numPr>
        <w:pStyle w:val="Compact"/>
      </w:pPr>
      <w:r>
        <w:rPr>
          <w:bCs/>
          <w:b/>
        </w:rPr>
        <w:t xml:space="preserve">Confidentiality:</w:t>
      </w:r>
      <w:r>
        <w:t xml:space="preserve"> </w:t>
      </w:r>
      <w:r>
        <w:t xml:space="preserve">All strategic information, polling data, and campaign materials developed under this engagement are the exclusive property of the</w:t>
      </w:r>
      <w:r>
        <w:t xml:space="preserve"> </w:t>
      </w:r>
      <w:r>
        <w:t xml:space="preserve">Politician</w:t>
      </w:r>
      <w:r>
        <w:t xml:space="preserve"> </w:t>
      </w:r>
      <w:r>
        <w:t xml:space="preserve">and shall be treated as strictly confidential. Meridian Political Advisory Group S.R.L. shall not disclose any information to third parties without written consent.</w:t>
      </w:r>
    </w:p>
    <w:p>
      <w:pPr>
        <w:numPr>
          <w:ilvl w:val="0"/>
          <w:numId w:val="1001"/>
        </w:numPr>
        <w:pStyle w:val="Compact"/>
      </w:pPr>
      <w:r>
        <w:rPr>
          <w:bCs/>
          <w:b/>
        </w:rPr>
        <w:t xml:space="preserve">Compliance:</w:t>
      </w:r>
      <w:r>
        <w:t xml:space="preserve"> </w:t>
      </w:r>
      <w:r>
        <w:t xml:space="preserve">All services shall be performed in strict accordance with Argentine electoral law, the regulations of the National Electoral Court, and the campaign finance transparency requirements of the Province of Buenos Aires. The</w:t>
      </w:r>
      <w:r>
        <w:t xml:space="preserve"> </w:t>
      </w:r>
      <w:r>
        <w:t xml:space="preserve">Politician</w:t>
      </w:r>
      <w:r>
        <w:t xml:space="preserve"> </w:t>
      </w:r>
      <w:r>
        <w:t xml:space="preserve">retains ultimate authority over all public statements and campaign messaging.</w:t>
      </w:r>
    </w:p>
    <w:p>
      <w:pPr>
        <w:numPr>
          <w:ilvl w:val="0"/>
          <w:numId w:val="1001"/>
        </w:numPr>
        <w:pStyle w:val="Compact"/>
      </w:pPr>
      <w:r>
        <w:rPr>
          <w:bCs/>
          <w:b/>
        </w:rPr>
        <w:t xml:space="preserve">Termination:</w:t>
      </w:r>
      <w:r>
        <w:t xml:space="preserve"> </w:t>
      </w:r>
      <w:r>
        <w:t xml:space="preserve">Either party may terminate this engagement with thirty (30) days' written notice. In the event of early termination, the</w:t>
      </w:r>
      <w:r>
        <w:t xml:space="preserve"> </w:t>
      </w:r>
      <w:r>
        <w:t xml:space="preserve">Politician</w:t>
      </w:r>
      <w:r>
        <w:t xml:space="preserve">'s office shall be liable for all services rendered up to the termination date, as itemized in a final invoice.</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contract shall be governed by the laws of the Argentine Republic, with jurisdiction vested in the civil and commercial courts of the City of Buenos Aires,</w:t>
      </w:r>
      <w:r>
        <w:t xml:space="preserve"> </w:t>
      </w:r>
      <w:r>
        <w:t xml:space="preserve">Argentina</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the</w:t>
      </w:r>
      <w:r>
        <w:t xml:space="preserve"> </w:t>
      </w:r>
      <w:r>
        <w:t xml:space="preserve">Politician</w:t>
      </w:r>
      <w:r>
        <w:t xml:space="preserve"> </w:t>
      </w:r>
      <w:r>
        <w:t xml:space="preserve">or their authorized representative acknowledges receipt of this</w:t>
      </w:r>
      <w:r>
        <w:t xml:space="preserve"> </w:t>
      </w:r>
      <w:r>
        <w:t xml:space="preserve">Quotation Estimate</w:t>
      </w:r>
      <w:r>
        <w:t xml:space="preserve"> </w:t>
      </w:r>
      <w:r>
        <w:t xml:space="preserve">and agrees to the terms, conditions, and pricing outlined herein for the provision of political consulting and public engagement services in</w:t>
      </w:r>
      <w:r>
        <w:t xml:space="preserve"> </w:t>
      </w:r>
      <w:r>
        <w:t xml:space="preserve">Argentina Buenos Aires</w:t>
      </w:r>
      <w:r>
        <w:t xml:space="preserve">.</w:t>
      </w:r>
    </w:p>
    <w:p>
      <w:pPr>
        <w:pStyle w:val="BodyText"/>
      </w:pPr>
      <w:r>
        <w:rPr>
          <w:bCs/>
          <w:b/>
        </w:rPr>
        <w:t xml:space="preserve">For Meridian Political Advisory Group S.R.L.</w:t>
      </w:r>
      <w:r>
        <w:br/>
      </w:r>
      <w:r>
        <w:t xml:space="preserve">Name: Lic. Mariana E. Solís</w:t>
      </w:r>
      <w:r>
        <w:br/>
      </w:r>
      <w:r>
        <w:t xml:space="preserve">Position: Director General</w:t>
      </w:r>
      <w:r>
        <w:br/>
      </w:r>
      <w:r>
        <w:t xml:space="preserve">Date: _________________________</w:t>
      </w:r>
    </w:p>
    <w:p>
      <w:pPr>
        <w:pStyle w:val="BodyText"/>
      </w:pPr>
      <w:r>
        <w:rPr>
          <w:bCs/>
          <w:b/>
        </w:rPr>
        <w:t xml:space="preserve">For the Office of the Politician</w:t>
      </w:r>
      <w:r>
        <w:br/>
      </w:r>
      <w:r>
        <w:t xml:space="preserve">Name: Hon. Sen. Ricardo A. Fernández</w:t>
      </w:r>
      <w:r>
        <w:br/>
      </w:r>
      <w:r>
        <w:t xml:space="preserve">Position: Senator, Argentine National Congress</w:t>
      </w:r>
      <w:r>
        <w:br/>
      </w:r>
      <w:r>
        <w:t xml:space="preserve">Date: _________________________</w:t>
      </w:r>
    </w:p>
    <w:p>
      <w:pPr>
        <w:pStyle w:val="BodyText"/>
      </w:pPr>
      <w:r>
        <w:t xml:space="preserve">This Quotation Estimate document was prepared by Meridian Political Advisory Group S.R.L., registered in the City of Buenos Aires, Argentina.</w:t>
      </w:r>
      <w:r>
        <w:br/>
      </w:r>
      <w:r>
        <w:t xml:space="preserve">Document Reference: QTE-2025-BA-00487 | Page 1 of 1 | Confidential – For Official Use Only</w:t>
      </w:r>
      <w:r>
        <w:br/>
      </w:r>
      <w:r>
        <w:t xml:space="preserve">This Quotation Estimate does not constitute a binding contract until countersigned by both parties.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Politician Services - Argentina Buenos Aires</dc:title>
  <dc:creator/>
  <dc:language>en</dc:language>
  <cp:keywords/>
  <dcterms:created xsi:type="dcterms:W3CDTF">2026-10-10T05:10:25Z</dcterms:created>
  <dcterms:modified xsi:type="dcterms:W3CDTF">2026-10-10T05:10:25Z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