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Political Advisory &amp; Campaign Services — Argentina Córdoba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QTE-CBA-2025-0487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Andrés Molina — Senior Political Strategist, Molina &amp; Asociados Consultores Políticos, Av. Vélez Sarsfield 1245, Córdoba Capital, Argentina</w:t>
            </w:r>
          </w:p>
        </w:tc>
      </w:tr>
      <w:tr>
        <w:tc>
          <w:tcPr/>
          <w:p>
            <w:pPr>
              <w:pStyle w:val="Compact"/>
              <w:jc w:val="left"/>
            </w:pPr>
            <w:r>
              <w:t xml:space="preserve">Prepared For:</w:t>
            </w:r>
          </w:p>
        </w:tc>
        <w:tc>
          <w:tcPr/>
          <w:p>
            <w:pPr>
              <w:pStyle w:val="Compact"/>
              <w:jc w:val="left"/>
            </w:pPr>
            <w:r>
              <w:t xml:space="preserve">Dr. Lucía Fernández —</w:t>
            </w:r>
            <w:r>
              <w:t xml:space="preserve"> </w:t>
            </w:r>
            <w:r>
              <w:t xml:space="preserve">Politician</w:t>
            </w:r>
            <w:r>
              <w:t xml:space="preserve">, Provincial Deputy, Legislative Assembly of Córdoba, Argentina</w:t>
            </w:r>
          </w:p>
        </w:tc>
      </w:tr>
      <w:tr>
        <w:tc>
          <w:tcPr/>
          <w:p>
            <w:pPr>
              <w:pStyle w:val="Compact"/>
              <w:jc w:val="left"/>
            </w:pPr>
            <w:r>
              <w:t xml:space="preserve">Jurisdiction:</w:t>
            </w:r>
          </w:p>
        </w:tc>
        <w:tc>
          <w:tcPr/>
          <w:p>
            <w:pPr>
              <w:pStyle w:val="Compact"/>
              <w:jc w:val="left"/>
            </w:pPr>
            <w:r>
              <w:t xml:space="preserve">Province of Córdoba,</w:t>
            </w:r>
            <w:r>
              <w:t xml:space="preserve"> </w:t>
            </w:r>
            <w:r>
              <w:t xml:space="preserve">Argentina</w:t>
            </w:r>
            <w:r>
              <w:t xml:space="preserve"> </w:t>
            </w:r>
            <w:r>
              <w:t xml:space="preserve">— Electoral District 4</w:t>
            </w:r>
          </w:p>
        </w:tc>
      </w:tr>
      <w:tr>
        <w:tc>
          <w:tcPr/>
          <w:p>
            <w:pPr>
              <w:pStyle w:val="Compact"/>
              <w:jc w:val="left"/>
            </w:pPr>
            <w:r>
              <w:t xml:space="preserve">Currency:</w:t>
            </w:r>
          </w:p>
        </w:tc>
        <w:tc>
          <w:tcPr/>
          <w:p>
            <w:pPr>
              <w:pStyle w:val="Compact"/>
              <w:jc w:val="left"/>
            </w:pPr>
            <w:r>
              <w:t xml:space="preserve">Argentine Pesos (ARS) — Central Bank of Argentina reference rate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in accordance with the professional services agreement between Molina &amp; Asociados Consultores Políticos and the</w:t>
      </w:r>
      <w:r>
        <w:t xml:space="preserve"> </w:t>
      </w:r>
      <w:r>
        <w:t xml:space="preserve">Politician</w:t>
      </w:r>
      <w:r>
        <w:t xml:space="preserve"> </w:t>
      </w:r>
      <w:r>
        <w:t xml:space="preserve">Dr. Lucía Fernández, who currently serves as a Provincial Deputy in the Legislative Assembly of Córdoba. The scope of this engagement covers comprehensive political strategy, campaign management, public communication, and legislative advisory services to be delivered within the Province of Córdoba,</w:t>
      </w:r>
      <w:r>
        <w:t xml:space="preserve"> </w:t>
      </w:r>
      <w:r>
        <w:t xml:space="preserve">Argentina</w:t>
      </w:r>
      <w:r>
        <w:t xml:space="preserve">, during the 2025–2026 electoral cycle.</w:t>
      </w:r>
    </w:p>
    <w:p>
      <w:pPr>
        <w:pStyle w:val="BodyText"/>
      </w:pPr>
      <w:r>
        <w:t xml:space="preserve">The</w:t>
      </w:r>
      <w:r>
        <w:t xml:space="preserve"> </w:t>
      </w:r>
      <w:r>
        <w:t xml:space="preserve">Quotation Estimate</w:t>
      </w:r>
      <w:r>
        <w:t xml:space="preserve"> </w:t>
      </w:r>
      <w:r>
        <w:t xml:space="preserve">presented herein itemizes all professional fees, operational costs, and ancillary expenses associated with the services described below. All pricing reflects current market conditions in</w:t>
      </w:r>
      <w:r>
        <w:t xml:space="preserve"> </w:t>
      </w:r>
      <w:r>
        <w:t xml:space="preserve">Argentina</w:t>
      </w:r>
      <w:r>
        <w:t xml:space="preserve"> </w:t>
      </w:r>
      <w:r>
        <w:t xml:space="preserve">and is subject to the terms and conditions outlined in Section 5 of this document.</w:t>
      </w:r>
    </w:p>
    <w:bookmarkEnd w:id="21"/>
    <w:bookmarkStart w:id="22"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Cost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Political Strategy &amp; Electoral Planning for the</w:t>
            </w:r>
            <w:r>
              <w:t xml:space="preserve"> </w:t>
            </w:r>
            <w:r>
              <w:t xml:space="preserve">Politician</w:t>
            </w:r>
            <w:r>
              <w:t xml:space="preserve"> </w:t>
            </w:r>
            <w:r>
              <w:t xml:space="preserve">in Córdoba Province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Campaign Management &amp; Field Operations Coordination (Córdoba Capital + 8 interior departments)</w:t>
            </w:r>
          </w:p>
        </w:tc>
        <w:tc>
          <w:tcPr/>
          <w:p>
            <w:pPr>
              <w:pStyle w:val="Compact"/>
              <w:jc w:val="left"/>
            </w:pPr>
            <w:r>
              <w:t xml:space="preserve">6 months</w:t>
            </w:r>
          </w:p>
        </w:tc>
        <w:tc>
          <w:tcPr/>
          <w:p>
            <w:pPr>
              <w:pStyle w:val="Compact"/>
              <w:jc w:val="left"/>
            </w:pPr>
            <w:r>
              <w:t xml:space="preserve">2,400,000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Public Speaking Preparation, Speechwriting &amp; Media Training for the</w:t>
            </w:r>
            <w:r>
              <w:t xml:space="preserve"> </w:t>
            </w:r>
            <w:r>
              <w:t xml:space="preserve">Politician</w:t>
            </w:r>
          </w:p>
        </w:tc>
        <w:tc>
          <w:tcPr/>
          <w:p>
            <w:pPr>
              <w:pStyle w:val="Compact"/>
              <w:jc w:val="left"/>
            </w:pPr>
            <w:r>
              <w:t xml:space="preserve">24 sessions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4</w:t>
            </w:r>
          </w:p>
        </w:tc>
        <w:tc>
          <w:tcPr/>
          <w:p>
            <w:pPr>
              <w:pStyle w:val="Compact"/>
              <w:jc w:val="left"/>
            </w:pPr>
            <w:r>
              <w:t xml:space="preserve">Digital Communication Strategy &amp; Social Media Management (Argentina-wide reach, Córdoba focus)</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5</w:t>
            </w:r>
          </w:p>
        </w:tc>
        <w:tc>
          <w:tcPr/>
          <w:p>
            <w:pPr>
              <w:pStyle w:val="Compact"/>
              <w:jc w:val="left"/>
            </w:pPr>
            <w:r>
              <w:t xml:space="preserve">Legislative Advisory &amp; Policy Research for the</w:t>
            </w:r>
            <w:r>
              <w:t xml:space="preserve"> </w:t>
            </w:r>
            <w:r>
              <w:t xml:space="preserve">Politician</w:t>
            </w:r>
            <w:r>
              <w:t xml:space="preserve"> </w:t>
            </w:r>
            <w:r>
              <w:t xml:space="preserve">in the Córdoba Provincial Assembly</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Stakeholder Mapping &amp; Coalition Building within Córdoba political landscape</w:t>
            </w:r>
          </w:p>
        </w:tc>
        <w:tc>
          <w:tcPr/>
          <w:p>
            <w:pPr>
              <w:pStyle w:val="Compact"/>
              <w:jc w:val="left"/>
            </w:pPr>
            <w:r>
              <w:t xml:space="preserve">3 months</w:t>
            </w:r>
          </w:p>
        </w:tc>
        <w:tc>
          <w:tcPr/>
          <w:p>
            <w:pPr>
              <w:pStyle w:val="Compact"/>
              <w:jc w:val="left"/>
            </w:pPr>
            <w:r>
              <w:t xml:space="preserve">1,600,000</w:t>
            </w:r>
          </w:p>
        </w:tc>
        <w:tc>
          <w:tcPr/>
          <w:p>
            <w:pPr>
              <w:pStyle w:val="Compact"/>
              <w:jc w:val="left"/>
            </w:pPr>
            <w:r>
              <w:t xml:space="preserve">4,800,000</w:t>
            </w:r>
          </w:p>
        </w:tc>
      </w:tr>
      <w:tr>
        <w:tc>
          <w:tcPr/>
          <w:p>
            <w:pPr>
              <w:pStyle w:val="Compact"/>
              <w:jc w:val="left"/>
            </w:pPr>
            <w:r>
              <w:t xml:space="preserve">7</w:t>
            </w:r>
          </w:p>
        </w:tc>
        <w:tc>
          <w:tcPr/>
          <w:p>
            <w:pPr>
              <w:pStyle w:val="Compact"/>
              <w:jc w:val="left"/>
            </w:pPr>
            <w:r>
              <w:t xml:space="preserve">Compliance &amp; Electoral Law Advisory (Ley Electoral Nacional 19.496 &amp; Córdoba Provincial regulations)</w:t>
            </w:r>
          </w:p>
        </w:tc>
        <w:tc>
          <w:tcPr/>
          <w:p>
            <w:pPr>
              <w:pStyle w:val="Compact"/>
              <w:jc w:val="left"/>
            </w:pPr>
            <w:r>
              <w:t xml:space="preserve">Ongoing</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8</w:t>
            </w:r>
          </w:p>
        </w:tc>
        <w:tc>
          <w:tcPr/>
          <w:p>
            <w:pPr>
              <w:pStyle w:val="Compact"/>
              <w:jc w:val="left"/>
            </w:pPr>
            <w:r>
              <w:t xml:space="preserve">Travel &amp; Logistics within Córdoba Province for the</w:t>
            </w:r>
            <w:r>
              <w:t xml:space="preserve"> </w:t>
            </w:r>
            <w:r>
              <w:t xml:space="preserve">Politician</w:t>
            </w:r>
            <w:r>
              <w:t xml:space="preserve">'s constituency visits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gridSpan w:val="4"/>
          </w:tcPr>
          <w:p>
            <w:pPr>
              <w:pStyle w:val="Compact"/>
              <w:jc w:val="left"/>
            </w:pPr>
            <w:r>
              <w:t xml:space="preserve">TOTAL ESTIMATED COST (before IVA 21%)</w:t>
            </w:r>
          </w:p>
        </w:tc>
        <w:tc>
          <w:tcPr/>
          <w:p>
            <w:pPr>
              <w:pStyle w:val="Compact"/>
              <w:jc w:val="left"/>
            </w:pPr>
            <w:r>
              <w:t xml:space="preserve">85,680,000</w:t>
            </w:r>
          </w:p>
        </w:tc>
      </w:tr>
      <w:tr>
        <w:tc>
          <w:tcPr>
            <w:gridSpan w:val="4"/>
          </w:tcPr>
          <w:p>
            <w:pPr>
              <w:pStyle w:val="Compact"/>
              <w:jc w:val="left"/>
            </w:pPr>
            <w:r>
              <w:t xml:space="preserve">IVA (21% — Argentine Value Added Tax)</w:t>
            </w:r>
          </w:p>
        </w:tc>
        <w:tc>
          <w:tcPr/>
          <w:p>
            <w:pPr>
              <w:pStyle w:val="Compact"/>
              <w:jc w:val="left"/>
            </w:pPr>
            <w:r>
              <w:t xml:space="preserve">17,992,800</w:t>
            </w:r>
          </w:p>
        </w:tc>
      </w:tr>
      <w:tr>
        <w:tc>
          <w:tcPr>
            <w:gridSpan w:val="4"/>
          </w:tcPr>
          <w:p>
            <w:pPr>
              <w:pStyle w:val="Compact"/>
              <w:jc w:val="left"/>
            </w:pPr>
            <w:r>
              <w:t xml:space="preserve">GRAND TOTAL (ARS)</w:t>
            </w:r>
          </w:p>
        </w:tc>
        <w:tc>
          <w:tcPr/>
          <w:p>
            <w:pPr>
              <w:pStyle w:val="Compact"/>
              <w:jc w:val="left"/>
            </w:pPr>
            <w:r>
              <w:t xml:space="preserve">103,672,800</w:t>
            </w:r>
          </w:p>
        </w:tc>
      </w:tr>
    </w:tbl>
    <w:bookmarkEnd w:id="22"/>
    <w:bookmarkStart w:id="23" w:name="assumptions-and-conditions"/>
    <w:p>
      <w:pPr>
        <w:pStyle w:val="Heading2"/>
      </w:pPr>
      <w:r>
        <w:t xml:space="preserve">3. Assumptions and Conditions</w:t>
      </w:r>
    </w:p>
    <w:p>
      <w:pPr>
        <w:pStyle w:val="FirstParagraph"/>
      </w:pPr>
      <w:r>
        <w:t xml:space="preserve">This</w:t>
      </w:r>
      <w:r>
        <w:t xml:space="preserve"> </w:t>
      </w:r>
      <w:r>
        <w:t xml:space="preserve">Quotation Estimate</w:t>
      </w:r>
      <w:r>
        <w:t xml:space="preserve"> </w:t>
      </w:r>
      <w:r>
        <w:t xml:space="preserve">is based on the following assumptions regarding the engagement with the</w:t>
      </w:r>
      <w:r>
        <w:t xml:space="preserve"> </w:t>
      </w:r>
      <w:r>
        <w:t xml:space="preserve">Politician</w:t>
      </w:r>
      <w:r>
        <w:t xml:space="preserve"> </w:t>
      </w:r>
      <w:r>
        <w:t xml:space="preserve">in</w:t>
      </w:r>
      <w:r>
        <w:t xml:space="preserve"> </w:t>
      </w:r>
      <w:r>
        <w:t xml:space="preserve">Argentina</w:t>
      </w:r>
      <w:r>
        <w:t xml:space="preserve">:</w:t>
      </w:r>
    </w:p>
    <w:p>
      <w:pPr>
        <w:pStyle w:val="BodyText"/>
      </w:pPr>
      <w:r>
        <w:t xml:space="preserve">(a) The</w:t>
      </w:r>
      <w:r>
        <w:t xml:space="preserve"> </w:t>
      </w:r>
      <w:r>
        <w:t xml:space="preserve">Politician</w:t>
      </w:r>
      <w:r>
        <w:t xml:space="preserve"> </w:t>
      </w:r>
      <w:r>
        <w:t xml:space="preserve">will provide timely access to legislative schedules, constituency data, and internal party communications within the Province of Córdoba.</w:t>
      </w:r>
    </w:p>
    <w:p>
      <w:pPr>
        <w:pStyle w:val="BodyText"/>
      </w:pPr>
      <w:r>
        <w:t xml:space="preserve">(b) All field operations will be conducted within the 25 departments of Córdoba Province. Travel to other Argentine provinces will be quoted separately.</w:t>
      </w:r>
    </w:p>
    <w:p>
      <w:pPr>
        <w:pStyle w:val="BodyText"/>
      </w:pPr>
      <w:r>
        <w:t xml:space="preserve">(c) The</w:t>
      </w:r>
      <w:r>
        <w:t xml:space="preserve"> </w:t>
      </w:r>
      <w:r>
        <w:t xml:space="preserve">Quotation Estimate</w:t>
      </w:r>
      <w:r>
        <w:t xml:space="preserve"> </w:t>
      </w:r>
      <w:r>
        <w:t xml:space="preserve">assumes a standard working schedule of 40 hours per week for the core advisory team. Overtime or emergency campaign surges will be billed at 1.5× the hourly rate.</w:t>
      </w:r>
    </w:p>
    <w:p>
      <w:pPr>
        <w:pStyle w:val="BodyText"/>
      </w:pPr>
      <w:r>
        <w:t xml:space="preserve">(d) Currency fluctuations in the Argentine Peso will not affect the quoted amounts for the first 90 days. Beyond that period, a review clause applies as detailed in Section 5.</w:t>
      </w:r>
    </w:p>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in four (4) equal quarterly installments of ARS 25,918,200 each, due on the 5th business day of January, April, July, and October 2025. Payment shall be made via bank transfer to the account designated by Molina &amp; Asociados Consultores Políticos, Banco de la Nación Argentina, Córdoba branch. Late payments shall accrue interest at the rate established by the Central Bank of Argentina for overdue commercial obligations.</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thirty (30) calendar days from the date of issue. After this period, all prices are subject to revision based on prevailing economic conditions in</w:t>
      </w:r>
      <w:r>
        <w:t xml:space="preserve"> </w:t>
      </w:r>
      <w:r>
        <w:t xml:space="preserve">Argentina</w:t>
      </w:r>
      <w:r>
        <w:t xml:space="preserve">.</w:t>
      </w:r>
    </w:p>
    <w:p>
      <w:pPr>
        <w:pStyle w:val="BodyText"/>
      </w:pPr>
      <w:r>
        <w:rPr>
          <w:bCs/>
          <w:b/>
        </w:rPr>
        <w:t xml:space="preserve">5.2 Confidentiality:</w:t>
      </w:r>
      <w:r>
        <w:t xml:space="preserve"> </w:t>
      </w:r>
      <w:r>
        <w:t xml:space="preserve">All strategic information, voter data, and internal communications shared between the</w:t>
      </w:r>
      <w:r>
        <w:t xml:space="preserve"> </w:t>
      </w:r>
      <w:r>
        <w:t xml:space="preserve">Politician</w:t>
      </w:r>
      <w:r>
        <w:t xml:space="preserve"> </w:t>
      </w:r>
      <w:r>
        <w:t xml:space="preserve">and our firm are subject to strict confidentiality under Argentine data protection law (Ley 25.326) and professional ethics codes.</w:t>
      </w:r>
    </w:p>
    <w:p>
      <w:pPr>
        <w:pStyle w:val="BodyText"/>
      </w:pPr>
      <w:r>
        <w:rPr>
          <w:bCs/>
          <w:b/>
        </w:rPr>
        <w:t xml:space="preserve">5.3 Intellectual Property:</w:t>
      </w:r>
      <w:r>
        <w:t xml:space="preserve"> </w:t>
      </w:r>
      <w:r>
        <w:t xml:space="preserve">All campaign materials, speeches, and strategic documents produced under this engagement shall remain the property of the</w:t>
      </w:r>
      <w:r>
        <w:t xml:space="preserve"> </w:t>
      </w:r>
      <w:r>
        <w:t xml:space="preserve">Politician</w:t>
      </w:r>
      <w:r>
        <w:t xml:space="preserve"> </w:t>
      </w:r>
      <w:r>
        <w:t xml:space="preserve">upon full payment. Our firm retains the right to reference the engagement in professional portfolios with prior written consent.</w:t>
      </w:r>
    </w:p>
    <w:p>
      <w:pPr>
        <w:pStyle w:val="BodyText"/>
      </w:pPr>
      <w:r>
        <w:rPr>
          <w:bCs/>
          <w:b/>
        </w:rPr>
        <w:t xml:space="preserve">5.4 Termination:</w:t>
      </w:r>
      <w:r>
        <w:t xml:space="preserve"> </w:t>
      </w:r>
      <w:r>
        <w:t xml:space="preserve">Either party may terminate this agreement with sixty (60) days written notice. In the event of early termination, the</w:t>
      </w:r>
      <w:r>
        <w:t xml:space="preserve"> </w:t>
      </w:r>
      <w:r>
        <w:t xml:space="preserve">Politician</w:t>
      </w:r>
      <w:r>
        <w:t xml:space="preserve"> </w:t>
      </w:r>
      <w:r>
        <w:t xml:space="preserve">shall be liable for all services rendered up to the termination date plus a 10% administrative fee.</w:t>
      </w:r>
    </w:p>
    <w:p>
      <w:pPr>
        <w:pStyle w:val="BodyText"/>
      </w:pPr>
      <w:r>
        <w:rPr>
          <w:bCs/>
          <w:b/>
        </w:rPr>
        <w:t xml:space="preserve">5.5 Governing Law:</w:t>
      </w:r>
      <w:r>
        <w:t xml:space="preserve"> </w:t>
      </w:r>
      <w:r>
        <w:t xml:space="preserve">This</w:t>
      </w:r>
      <w:r>
        <w:t xml:space="preserve"> </w:t>
      </w:r>
      <w:r>
        <w:t xml:space="preserve">Quotation Estimate</w:t>
      </w:r>
      <w:r>
        <w:t xml:space="preserve"> </w:t>
      </w:r>
      <w:r>
        <w:t xml:space="preserve">and any resulting contract shall be governed by the laws of the Province of Córdoba,</w:t>
      </w:r>
      <w:r>
        <w:t xml:space="preserve"> </w:t>
      </w:r>
      <w:r>
        <w:t xml:space="preserve">Argentina</w:t>
      </w:r>
      <w:r>
        <w:t xml:space="preserve">, and the national Civil and Commercial Code. Disputes shall be resolved by arbitration in Córdoba Capital.</w:t>
      </w:r>
    </w:p>
    <w:p>
      <w:pPr>
        <w:pStyle w:val="BodyText"/>
      </w:pPr>
      <w:r>
        <w:rPr>
          <w:bCs/>
          <w:b/>
        </w:rPr>
        <w:t xml:space="preserve">5.6 Regulatory Compliance:</w:t>
      </w:r>
      <w:r>
        <w:t xml:space="preserve"> </w:t>
      </w:r>
      <w:r>
        <w:t xml:space="preserve">All campaign activities shall comply with the National Electoral Law (Ley 19.496), the Córdoba Provincial Electoral Code, and regulations issued by the Electoral Court of Córdoba (Tribunal Electoral de Córdoba).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scope, cost, and terms of the professional services to be provided to the</w:t>
      </w:r>
      <w:r>
        <w:t xml:space="preserve"> </w:t>
      </w:r>
      <w:r>
        <w:t xml:space="preserve">Politician</w:t>
      </w:r>
      <w:r>
        <w:t xml:space="preserve"> </w:t>
      </w:r>
      <w:r>
        <w:t xml:space="preserve">in the Province of Córdoba,</w:t>
      </w:r>
      <w:r>
        <w:t xml:space="preserve"> </w:t>
      </w:r>
      <w:r>
        <w:t xml:space="preserve">Argentina</w:t>
      </w:r>
      <w:r>
        <w:t xml:space="preserve">. This document does not constitute a binding contract until a formal service agreement is executed by both parties.</w:t>
      </w:r>
    </w:p>
    <w:p>
      <w:pPr>
        <w:pStyle w:val="BodyText"/>
      </w:pPr>
      <w:r>
        <w:rPr>
          <w:bCs/>
          <w:b/>
        </w:rPr>
        <w:t xml:space="preserve">For Molina &amp; Asociados Consultores Políticos</w:t>
      </w:r>
    </w:p>
    <w:p>
      <w:pPr>
        <w:pStyle w:val="BodyText"/>
      </w:pPr>
      <w:r>
        <w:t xml:space="preserve">Andrés Molina</w:t>
      </w:r>
      <w:r>
        <w:br/>
      </w:r>
      <w:r>
        <w:t xml:space="preserve">Senior Political Strategist</w:t>
      </w:r>
      <w:r>
        <w:br/>
      </w:r>
      <w:r>
        <w:t xml:space="preserve">CUIT: 20-XXXXXXXX-X</w:t>
      </w:r>
      <w:r>
        <w:br/>
      </w:r>
      <w:r>
        <w:t xml:space="preserve">Córdoba Capital, Argentina</w:t>
      </w:r>
    </w:p>
    <w:p>
      <w:pPr>
        <w:pStyle w:val="BodyText"/>
      </w:pPr>
      <w:r>
        <w:rPr>
          <w:bCs/>
          <w:b/>
        </w:rPr>
        <w:t xml:space="preserve">For the Politician (Client)</w:t>
      </w:r>
    </w:p>
    <w:p>
      <w:pPr>
        <w:pStyle w:val="BodyText"/>
      </w:pPr>
      <w:r>
        <w:t xml:space="preserve">Dr. Lucía Fernández</w:t>
      </w:r>
      <w:r>
        <w:br/>
      </w:r>
      <w:r>
        <w:t xml:space="preserve">Provincial Deputy, Legislative Assembly of Córdoba</w:t>
      </w:r>
      <w:r>
        <w:br/>
      </w:r>
      <w:r>
        <w:t xml:space="preserve">DNI: XXXXXXXX</w:t>
      </w:r>
      <w:r>
        <w:br/>
      </w:r>
      <w:r>
        <w:t xml:space="preserve">Córdoba, Argentina</w:t>
      </w:r>
    </w:p>
    <w:p>
      <w:pPr>
        <w:pStyle w:val="BodyText"/>
      </w:pPr>
      <w:r>
        <w:t xml:space="preserve">Quotation Estimate QTE-CBA-2025-0487 | Molina &amp; Asociados Consultores Políticos | Av. Vélez Sarsfield 1245, Córdoba Capital, Argentina | Tel: +54 351 426-XXXX | Email: informes@molinaconsultores.ar</w:t>
      </w:r>
    </w:p>
    <w:p>
      <w:pPr>
        <w:pStyle w:val="BodyText"/>
      </w:pPr>
      <w:r>
        <w:t xml:space="preserve">This document is a professional</w:t>
      </w:r>
      <w:r>
        <w:t xml:space="preserve"> </w:t>
      </w:r>
      <w:r>
        <w:t xml:space="preserve">Quotation Estimate</w:t>
      </w:r>
      <w:r>
        <w:t xml:space="preserve"> </w:t>
      </w:r>
      <w:r>
        <w:t xml:space="preserve">issued for the</w:t>
      </w:r>
      <w:r>
        <w:t xml:space="preserve"> </w:t>
      </w:r>
      <w:r>
        <w:t xml:space="preserve">Politician</w:t>
      </w:r>
      <w:r>
        <w:t xml:space="preserve"> </w:t>
      </w:r>
      <w:r>
        <w:t xml:space="preserve">Dr. Lucía Fernández in the Province of Córdoba,</w:t>
      </w:r>
      <w:r>
        <w:t xml:space="preserve"> </w:t>
      </w:r>
      <w:r>
        <w:t xml:space="preserve">Argentina</w:t>
      </w:r>
      <w:r>
        <w:t xml:space="preserve">. It is not a tax invoice (Factura) and does not constitute proof of payment.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Services - Argentina Córdoba</dc:title>
  <dc:creator/>
  <dc:language>en</dc:language>
  <cp:keywords/>
  <dcterms:created xsi:type="dcterms:W3CDTF">2026-10-10T04:17:15Z</dcterms:created>
  <dcterms:modified xsi:type="dcterms:W3CDTF">2026-10-10T04:17:15Z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