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Political Services &amp; Campaign Management</w:t>
      </w:r>
    </w:p>
    <w:p>
      <w:pPr>
        <w:pStyle w:val="BodyText"/>
      </w:pPr>
      <w:r>
        <w:t xml:space="preserve">Canada Vancouver</w:t>
      </w:r>
      <w:r>
        <w:t xml:space="preserve"> </w:t>
      </w:r>
      <w:r>
        <w:t xml:space="preserve"> </w:t>
      </w:r>
      <w:r>
        <w:t xml:space="preserve"> </w:t>
      </w:r>
      <w:r>
        <w:t xml:space="preserve">Politician Advisory Services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QEST-VAN-2025-04782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 (Client)</w:t>
            </w:r>
          </w:p>
        </w:tc>
        <w:tc>
          <w:tcPr/>
          <w:p>
            <w:pPr>
              <w:pStyle w:val="Compact"/>
              <w:jc w:val="left"/>
            </w:pPr>
            <w:r>
              <w:t xml:space="preserve">The Honourable [Politician Name], Member of Parliament / Municipal Councillor, Canada Vancouver</w:t>
            </w:r>
          </w:p>
        </w:tc>
      </w:tr>
      <w:tr>
        <w:tc>
          <w:tcPr/>
          <w:p>
            <w:pPr>
              <w:pStyle w:val="Compact"/>
              <w:jc w:val="left"/>
            </w:pPr>
            <w:r>
              <w:t xml:space="preserve">Prepared By</w:t>
            </w:r>
          </w:p>
        </w:tc>
        <w:tc>
          <w:tcPr/>
          <w:p>
            <w:pPr>
              <w:pStyle w:val="Compact"/>
              <w:jc w:val="left"/>
            </w:pPr>
            <w:r>
              <w:t xml:space="preserve">Northwest Political Consulting Group Ltd., 888 West Georgia Street, Suite 1400, Vancouver, British Columbia, Canada V6C 3E5</w:t>
            </w:r>
          </w:p>
        </w:tc>
      </w:tr>
      <w:tr>
        <w:tc>
          <w:tcPr/>
          <w:p>
            <w:pPr>
              <w:pStyle w:val="Compact"/>
              <w:jc w:val="left"/>
            </w:pPr>
            <w:r>
              <w:t xml:space="preserve">Contact</w:t>
            </w:r>
          </w:p>
        </w:tc>
        <w:tc>
          <w:tcPr/>
          <w:p>
            <w:pPr>
              <w:pStyle w:val="Compact"/>
              <w:jc w:val="left"/>
            </w:pPr>
            <w:r>
              <w:t xml:space="preserve">Mr. David Chen, Senior Account Director | d.chen@nwpcg.ca | (604) 555-0192</w:t>
            </w:r>
          </w:p>
        </w:tc>
      </w:tr>
      <w:tr>
        <w:tc>
          <w:tcPr/>
          <w:p>
            <w:pPr>
              <w:pStyle w:val="Compact"/>
              <w:jc w:val="left"/>
            </w:pPr>
            <w:r>
              <w:t xml:space="preserve">Jurisdiction</w:t>
            </w:r>
          </w:p>
        </w:tc>
        <w:tc>
          <w:tcPr/>
          <w:p>
            <w:pPr>
              <w:pStyle w:val="Compact"/>
              <w:jc w:val="left"/>
            </w:pPr>
            <w:r>
              <w:t xml:space="preserve">Province of British Columbia, Canada Vancouver Metropolitan Area</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Northwest Political Consulting Group Ltd. to provide a comprehensive, itemized cost projection for the full suite of professional services required to support a Politician operating within the Canada Vancouver region. The scope encompasses campaign strategy, public engagement, media relations, office operations, and compliance advisory services in accordance with the</w:t>
      </w:r>
      <w:r>
        <w:t xml:space="preserve"> </w:t>
      </w:r>
      <w:r>
        <w:rPr>
          <w:iCs/>
          <w:i/>
        </w:rPr>
        <w:t xml:space="preserve">Canada Elections Act</w:t>
      </w:r>
      <w:r>
        <w:t xml:space="preserve">, the</w:t>
      </w:r>
      <w:r>
        <w:t xml:space="preserve"> </w:t>
      </w:r>
      <w:r>
        <w:rPr>
          <w:iCs/>
          <w:i/>
        </w:rPr>
        <w:t xml:space="preserve">British Columbia Political Financing Act</w:t>
      </w:r>
      <w:r>
        <w:t xml:space="preserve">, and all applicable municipal bylaws governing political activity in the City of Vancouver and the Greater Vancouver Regional District.</w:t>
      </w:r>
    </w:p>
    <w:p>
      <w:pPr>
        <w:pStyle w:val="BodyText"/>
      </w:pPr>
      <w:r>
        <w:t xml:space="preserve">This Quotation Estimate is provided for the Politician's review and approval prior to the commencement of any service delivery. All figures are presented in Canadian Dollars (CAD) and are subject to the terms and conditions outlined in Section 6 of this document.</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Strategic Campaign Planning &amp; Political Advisory for the Politician's re-election or municipal by-election in Canada Vancouver</w:t>
            </w:r>
          </w:p>
        </w:tc>
        <w:tc>
          <w:tcPr/>
          <w:p>
            <w:pPr>
              <w:pStyle w:val="Compact"/>
              <w:jc w:val="left"/>
            </w:pPr>
            <w:r>
              <w:t xml:space="preserve">6 months</w:t>
            </w:r>
          </w:p>
        </w:tc>
        <w:tc>
          <w:tcPr/>
          <w:p>
            <w:pPr>
              <w:pStyle w:val="Compact"/>
              <w:jc w:val="left"/>
            </w:pPr>
            <w:r>
              <w:t xml:space="preserve">$12,500 / mo</w:t>
            </w:r>
          </w:p>
        </w:tc>
        <w:tc>
          <w:tcPr/>
          <w:p>
            <w:pPr>
              <w:pStyle w:val="Compact"/>
              <w:jc w:val="left"/>
            </w:pPr>
            <w:r>
              <w:t xml:space="preserve">$75,000.00</w:t>
            </w:r>
          </w:p>
        </w:tc>
        <w:tc>
          <w:tcPr/>
          <w:p>
            <w:pPr>
              <w:pStyle w:val="Compact"/>
              <w:jc w:val="left"/>
            </w:pPr>
            <w:r>
              <w:t xml:space="preserve">Includes weekly strategy sessions</w:t>
            </w:r>
          </w:p>
        </w:tc>
      </w:tr>
      <w:tr>
        <w:tc>
          <w:tcPr/>
          <w:p>
            <w:pPr>
              <w:pStyle w:val="Compact"/>
              <w:jc w:val="left"/>
            </w:pPr>
            <w:r>
              <w:t xml:space="preserve">2</w:t>
            </w:r>
          </w:p>
        </w:tc>
        <w:tc>
          <w:tcPr/>
          <w:p>
            <w:pPr>
              <w:pStyle w:val="Compact"/>
              <w:jc w:val="left"/>
            </w:pPr>
            <w:r>
              <w:t xml:space="preserve">Public Speaking, Town Hall &amp; Community Engagement Event Coordination (up to 12 events across Vancouver neighbourhoods)</w:t>
            </w:r>
          </w:p>
        </w:tc>
        <w:tc>
          <w:tcPr/>
          <w:p>
            <w:pPr>
              <w:pStyle w:val="Compact"/>
              <w:jc w:val="left"/>
            </w:pPr>
            <w:r>
              <w:t xml:space="preserve">12 events</w:t>
            </w:r>
          </w:p>
        </w:tc>
        <w:tc>
          <w:tcPr/>
          <w:p>
            <w:pPr>
              <w:pStyle w:val="Compact"/>
              <w:jc w:val="left"/>
            </w:pPr>
            <w:r>
              <w:t xml:space="preserve">$3,200 / event</w:t>
            </w:r>
          </w:p>
        </w:tc>
        <w:tc>
          <w:tcPr/>
          <w:p>
            <w:pPr>
              <w:pStyle w:val="Compact"/>
              <w:jc w:val="left"/>
            </w:pPr>
            <w:r>
              <w:t xml:space="preserve">$38,400.00</w:t>
            </w:r>
          </w:p>
        </w:tc>
        <w:tc>
          <w:tcPr/>
          <w:p>
            <w:pPr>
              <w:pStyle w:val="Compact"/>
              <w:jc w:val="left"/>
            </w:pPr>
            <w:r>
              <w:t xml:space="preserve">Venue, AV, and logistics included</w:t>
            </w:r>
          </w:p>
        </w:tc>
      </w:tr>
      <w:tr>
        <w:tc>
          <w:tcPr/>
          <w:p>
            <w:pPr>
              <w:pStyle w:val="Compact"/>
              <w:jc w:val="left"/>
            </w:pPr>
            <w:r>
              <w:t xml:space="preserve">3</w:t>
            </w:r>
          </w:p>
        </w:tc>
        <w:tc>
          <w:tcPr/>
          <w:p>
            <w:pPr>
              <w:pStyle w:val="Compact"/>
              <w:jc w:val="left"/>
            </w:pPr>
            <w:r>
              <w:t xml:space="preserve">Digital Media Management &amp; Social Media Strategy for the Politician's public profile</w:t>
            </w:r>
          </w:p>
        </w:tc>
        <w:tc>
          <w:tcPr/>
          <w:p>
            <w:pPr>
              <w:pStyle w:val="Compact"/>
              <w:jc w:val="left"/>
            </w:pPr>
            <w:r>
              <w:t xml:space="preserve">6 months</w:t>
            </w:r>
          </w:p>
        </w:tc>
        <w:tc>
          <w:tcPr/>
          <w:p>
            <w:pPr>
              <w:pStyle w:val="Compact"/>
              <w:jc w:val="left"/>
            </w:pPr>
            <w:r>
              <w:t xml:space="preserve">$4,800 / mo</w:t>
            </w:r>
          </w:p>
        </w:tc>
        <w:tc>
          <w:tcPr/>
          <w:p>
            <w:pPr>
              <w:pStyle w:val="Compact"/>
              <w:jc w:val="left"/>
            </w:pPr>
            <w:r>
              <w:t xml:space="preserve">$28,800.00</w:t>
            </w:r>
          </w:p>
        </w:tc>
        <w:tc>
          <w:tcPr/>
          <w:p>
            <w:pPr>
              <w:pStyle w:val="Compact"/>
              <w:jc w:val="left"/>
            </w:pPr>
            <w:r>
              <w:t xml:space="preserve">Content creation, analytics, ad spend excluded</w:t>
            </w:r>
          </w:p>
        </w:tc>
      </w:tr>
      <w:tr>
        <w:tc>
          <w:tcPr/>
          <w:p>
            <w:pPr>
              <w:pStyle w:val="Compact"/>
              <w:jc w:val="left"/>
            </w:pPr>
            <w:r>
              <w:t xml:space="preserve">4</w:t>
            </w:r>
          </w:p>
        </w:tc>
        <w:tc>
          <w:tcPr/>
          <w:p>
            <w:pPr>
              <w:pStyle w:val="Compact"/>
              <w:jc w:val="left"/>
            </w:pPr>
            <w:r>
              <w:t xml:space="preserve">Press Relations &amp; Media Training for the Politician (including mock interviews, briefing documents, and crisis communication protocols)</w:t>
            </w:r>
          </w:p>
        </w:tc>
        <w:tc>
          <w:tcPr/>
          <w:p>
            <w:pPr>
              <w:pStyle w:val="Compact"/>
              <w:jc w:val="left"/>
            </w:pPr>
            <w:r>
              <w:t xml:space="preserve">10 sessions</w:t>
            </w:r>
          </w:p>
        </w:tc>
        <w:tc>
          <w:tcPr/>
          <w:p>
            <w:pPr>
              <w:pStyle w:val="Compact"/>
              <w:jc w:val="left"/>
            </w:pPr>
            <w:r>
              <w:t xml:space="preserve">$1,100 / session</w:t>
            </w:r>
          </w:p>
        </w:tc>
        <w:tc>
          <w:tcPr/>
          <w:p>
            <w:pPr>
              <w:pStyle w:val="Compact"/>
              <w:jc w:val="left"/>
            </w:pPr>
            <w:r>
              <w:t xml:space="preserve">$11,000.00</w:t>
            </w:r>
          </w:p>
        </w:tc>
        <w:tc>
          <w:tcPr/>
          <w:p>
            <w:pPr>
              <w:pStyle w:val="Compact"/>
              <w:jc w:val="left"/>
            </w:pPr>
            <w:r>
              <w:t xml:space="preserve">Local, provincial, and national media</w:t>
            </w:r>
          </w:p>
        </w:tc>
      </w:tr>
      <w:tr>
        <w:tc>
          <w:tcPr/>
          <w:p>
            <w:pPr>
              <w:pStyle w:val="Compact"/>
              <w:jc w:val="left"/>
            </w:pPr>
            <w:r>
              <w:t xml:space="preserve">5</w:t>
            </w:r>
          </w:p>
        </w:tc>
        <w:tc>
          <w:tcPr/>
          <w:p>
            <w:pPr>
              <w:pStyle w:val="Compact"/>
              <w:jc w:val="left"/>
            </w:pPr>
            <w:r>
              <w:t xml:space="preserve">Office Operations &amp; Constituency Service Centre Management (Vancouver East / Vancouver West riding)</w:t>
            </w:r>
          </w:p>
        </w:tc>
        <w:tc>
          <w:tcPr/>
          <w:p>
            <w:pPr>
              <w:pStyle w:val="Compact"/>
              <w:jc w:val="left"/>
            </w:pPr>
            <w:r>
              <w:t xml:space="preserve">6 months</w:t>
            </w:r>
          </w:p>
        </w:tc>
        <w:tc>
          <w:tcPr/>
          <w:p>
            <w:pPr>
              <w:pStyle w:val="Compact"/>
              <w:jc w:val="left"/>
            </w:pPr>
            <w:r>
              <w:t xml:space="preserve">$6,500 / mo</w:t>
            </w:r>
          </w:p>
        </w:tc>
        <w:tc>
          <w:tcPr/>
          <w:p>
            <w:pPr>
              <w:pStyle w:val="Compact"/>
              <w:jc w:val="left"/>
            </w:pPr>
            <w:r>
              <w:t xml:space="preserve">$39,000.00</w:t>
            </w:r>
          </w:p>
        </w:tc>
        <w:tc>
          <w:tcPr/>
          <w:p>
            <w:pPr>
              <w:pStyle w:val="Compact"/>
              <w:jc w:val="left"/>
            </w:pPr>
            <w:r>
              <w:t xml:space="preserve">Staffing, rent, utilities, supplies</w:t>
            </w:r>
          </w:p>
        </w:tc>
      </w:tr>
      <w:tr>
        <w:tc>
          <w:tcPr/>
          <w:p>
            <w:pPr>
              <w:pStyle w:val="Compact"/>
              <w:jc w:val="left"/>
            </w:pPr>
            <w:r>
              <w:t xml:space="preserve">6</w:t>
            </w:r>
          </w:p>
        </w:tc>
        <w:tc>
          <w:tcPr/>
          <w:p>
            <w:pPr>
              <w:pStyle w:val="Compact"/>
              <w:jc w:val="left"/>
            </w:pPr>
            <w:r>
              <w:t xml:space="preserve">Compliance &amp; Financial Reporting Advisory (Elections Canada and BC Electoral Funding Act filings)</w:t>
            </w:r>
          </w:p>
        </w:tc>
        <w:tc>
          <w:tcPr/>
          <w:p>
            <w:pPr>
              <w:pStyle w:val="Compact"/>
              <w:jc w:val="left"/>
            </w:pPr>
            <w:r>
              <w:t xml:space="preserve">6 months</w:t>
            </w:r>
          </w:p>
        </w:tc>
        <w:tc>
          <w:tcPr/>
          <w:p>
            <w:pPr>
              <w:pStyle w:val="Compact"/>
              <w:jc w:val="left"/>
            </w:pPr>
            <w:r>
              <w:t xml:space="preserve">$2,200 / mo</w:t>
            </w:r>
          </w:p>
        </w:tc>
        <w:tc>
          <w:tcPr/>
          <w:p>
            <w:pPr>
              <w:pStyle w:val="Compact"/>
              <w:jc w:val="left"/>
            </w:pPr>
            <w:r>
              <w:t xml:space="preserve">$13,200.00</w:t>
            </w:r>
          </w:p>
        </w:tc>
        <w:tc>
          <w:tcPr/>
          <w:p>
            <w:pPr>
              <w:pStyle w:val="Compact"/>
              <w:jc w:val="left"/>
            </w:pPr>
            <w:r>
              <w:t xml:space="preserve">Quarterly reports, annual returns</w:t>
            </w:r>
          </w:p>
        </w:tc>
      </w:tr>
      <w:tr>
        <w:tc>
          <w:tcPr/>
          <w:p>
            <w:pPr>
              <w:pStyle w:val="Compact"/>
              <w:jc w:val="left"/>
            </w:pPr>
            <w:r>
              <w:t xml:space="preserve">7</w:t>
            </w:r>
          </w:p>
        </w:tc>
        <w:tc>
          <w:tcPr/>
          <w:p>
            <w:pPr>
              <w:pStyle w:val="Compact"/>
              <w:jc w:val="left"/>
            </w:pPr>
            <w:r>
              <w:t xml:space="preserve">Volunteer Recruitment, Training &amp; Canvassing Coordination (target: 200 volunteers in Canada Vancouver)</w:t>
            </w:r>
          </w:p>
        </w:tc>
        <w:tc>
          <w:tcPr/>
          <w:p>
            <w:pPr>
              <w:pStyle w:val="Compact"/>
              <w:jc w:val="left"/>
            </w:pPr>
            <w:r>
              <w:t xml:space="preserve">6 months</w:t>
            </w:r>
          </w:p>
        </w:tc>
        <w:tc>
          <w:tcPr/>
          <w:p>
            <w:pPr>
              <w:pStyle w:val="Compact"/>
              <w:jc w:val="left"/>
            </w:pPr>
            <w:r>
              <w:t xml:space="preserve">$1,800 / mo</w:t>
            </w:r>
          </w:p>
        </w:tc>
        <w:tc>
          <w:tcPr/>
          <w:p>
            <w:pPr>
              <w:pStyle w:val="Compact"/>
              <w:jc w:val="left"/>
            </w:pPr>
            <w:r>
              <w:t xml:space="preserve">$10,800.00</w:t>
            </w:r>
          </w:p>
        </w:tc>
        <w:tc>
          <w:tcPr/>
          <w:p>
            <w:pPr>
              <w:pStyle w:val="Compact"/>
              <w:jc w:val="left"/>
            </w:pPr>
            <w:r>
              <w:t xml:space="preserve">Includes background checks per BC law</w:t>
            </w:r>
          </w:p>
        </w:tc>
      </w:tr>
      <w:tr>
        <w:tc>
          <w:tcPr/>
          <w:p>
            <w:pPr>
              <w:pStyle w:val="Compact"/>
              <w:jc w:val="left"/>
            </w:pPr>
            <w:r>
              <w:t xml:space="preserve">8</w:t>
            </w:r>
          </w:p>
        </w:tc>
        <w:tc>
          <w:tcPr/>
          <w:p>
            <w:pPr>
              <w:pStyle w:val="Compact"/>
              <w:jc w:val="left"/>
            </w:pPr>
            <w:r>
              <w:t xml:space="preserve">Policy Research &amp; Briefing Document Preparation (housing, transit, climate, and local economic development for Vancouver)</w:t>
            </w:r>
          </w:p>
        </w:tc>
        <w:tc>
          <w:tcPr/>
          <w:p>
            <w:pPr>
              <w:pStyle w:val="Compact"/>
              <w:jc w:val="left"/>
            </w:pPr>
            <w:r>
              <w:t xml:space="preserve">24 documents</w:t>
            </w:r>
          </w:p>
        </w:tc>
        <w:tc>
          <w:tcPr/>
          <w:p>
            <w:pPr>
              <w:pStyle w:val="Compact"/>
              <w:jc w:val="left"/>
            </w:pPr>
            <w:r>
              <w:t xml:space="preserve">$950 / document</w:t>
            </w:r>
          </w:p>
        </w:tc>
        <w:tc>
          <w:tcPr/>
          <w:p>
            <w:pPr>
              <w:pStyle w:val="Compact"/>
              <w:jc w:val="left"/>
            </w:pPr>
            <w:r>
              <w:t xml:space="preserve">$22,800.00</w:t>
            </w:r>
          </w:p>
        </w:tc>
        <w:tc>
          <w:tcPr/>
          <w:p>
            <w:pPr>
              <w:pStyle w:val="Compact"/>
              <w:jc w:val="left"/>
            </w:pPr>
            <w:r>
              <w:t xml:space="preserve">Peer-reviewed, data-driven</w:t>
            </w:r>
          </w:p>
        </w:tc>
      </w:tr>
      <w:tr>
        <w:tc>
          <w:tcPr/>
          <w:p>
            <w:pPr>
              <w:pStyle w:val="Compact"/>
              <w:jc w:val="left"/>
            </w:pPr>
            <w:r>
              <w:t xml:space="preserve">9</w:t>
            </w:r>
          </w:p>
        </w:tc>
        <w:tc>
          <w:tcPr/>
          <w:p>
            <w:pPr>
              <w:pStyle w:val="Compact"/>
              <w:jc w:val="left"/>
            </w:pPr>
            <w:r>
              <w:t xml:space="preserve">Debate Preparation &amp; Opposition Research for the Politician</w:t>
            </w:r>
          </w:p>
        </w:tc>
        <w:tc>
          <w:tcPr/>
          <w:p>
            <w:pPr>
              <w:pStyle w:val="Compact"/>
              <w:jc w:val="left"/>
            </w:pPr>
            <w:r>
              <w:t xml:space="preserve">4 rounds</w:t>
            </w:r>
          </w:p>
        </w:tc>
        <w:tc>
          <w:tcPr/>
          <w:p>
            <w:pPr>
              <w:pStyle w:val="Compact"/>
              <w:jc w:val="left"/>
            </w:pPr>
            <w:r>
              <w:t xml:space="preserve">$4,500 / round</w:t>
            </w:r>
          </w:p>
        </w:tc>
        <w:tc>
          <w:tcPr/>
          <w:p>
            <w:pPr>
              <w:pStyle w:val="Compact"/>
              <w:jc w:val="left"/>
            </w:pPr>
            <w:r>
              <w:t xml:space="preserve">$18,000.00</w:t>
            </w:r>
          </w:p>
        </w:tc>
        <w:tc>
          <w:tcPr/>
          <w:p>
            <w:pPr>
              <w:pStyle w:val="Compact"/>
              <w:jc w:val="left"/>
            </w:pPr>
            <w:r>
              <w:t xml:space="preserve">Includes mock debates with panel</w:t>
            </w:r>
          </w:p>
        </w:tc>
      </w:tr>
      <w:tr>
        <w:tc>
          <w:tcPr/>
          <w:p>
            <w:pPr>
              <w:pStyle w:val="Compact"/>
              <w:jc w:val="left"/>
            </w:pPr>
            <w:r>
              <w:t xml:space="preserve">10</w:t>
            </w:r>
          </w:p>
        </w:tc>
        <w:tc>
          <w:tcPr/>
          <w:p>
            <w:pPr>
              <w:pStyle w:val="Compact"/>
              <w:jc w:val="left"/>
            </w:pPr>
            <w:r>
              <w:t xml:space="preserve">Post-Election Transition &amp; Ongoing Parliamentary / Council Support (first 90 days)</w:t>
            </w:r>
          </w:p>
        </w:tc>
        <w:tc>
          <w:tcPr/>
          <w:p>
            <w:pPr>
              <w:pStyle w:val="Compact"/>
              <w:jc w:val="left"/>
            </w:pPr>
            <w:r>
              <w:t xml:space="preserve">3 months</w:t>
            </w:r>
          </w:p>
        </w:tc>
        <w:tc>
          <w:tcPr/>
          <w:p>
            <w:pPr>
              <w:pStyle w:val="Compact"/>
              <w:jc w:val="left"/>
            </w:pPr>
            <w:r>
              <w:t xml:space="preserve">$5,000 / mo</w:t>
            </w:r>
          </w:p>
        </w:tc>
        <w:tc>
          <w:tcPr/>
          <w:p>
            <w:pPr>
              <w:pStyle w:val="Compact"/>
              <w:jc w:val="left"/>
            </w:pPr>
            <w:r>
              <w:t xml:space="preserve">$15,000.00</w:t>
            </w:r>
          </w:p>
        </w:tc>
        <w:tc>
          <w:tcPr/>
          <w:p>
            <w:pPr>
              <w:pStyle w:val="Compact"/>
              <w:jc w:val="left"/>
            </w:pPr>
            <w:r>
              <w:t xml:space="preserve">Onboarding, committee assignments</w:t>
            </w:r>
          </w:p>
        </w:tc>
      </w:tr>
      <w:tr>
        <w:tc>
          <w:tcPr>
            <w:gridSpan w:val="4"/>
          </w:tcPr>
          <w:p>
            <w:pPr>
              <w:pStyle w:val="Compact"/>
              <w:jc w:val="right"/>
            </w:pPr>
            <w:r>
              <w:t xml:space="preserve">Subtotal (before tax)</w:t>
            </w:r>
          </w:p>
        </w:tc>
        <w:tc>
          <w:tcPr/>
          <w:p>
            <w:pPr>
              <w:pStyle w:val="Compact"/>
              <w:jc w:val="left"/>
            </w:pPr>
            <w:r>
              <w:t xml:space="preserve">$272,000.00</w:t>
            </w:r>
          </w:p>
        </w:tc>
        <w:tc>
          <w:tcPr/>
          <w:p>
            <w:pPr>
              <w:pStyle w:val="Compact"/>
            </w:pPr>
          </w:p>
        </w:tc>
      </w:tr>
      <w:tr>
        <w:tc>
          <w:tcPr>
            <w:gridSpan w:val="4"/>
          </w:tcPr>
          <w:p>
            <w:pPr>
              <w:pStyle w:val="Compact"/>
              <w:jc w:val="right"/>
            </w:pPr>
            <w:r>
              <w:t xml:space="preserve">GST (5%)</w:t>
            </w:r>
          </w:p>
        </w:tc>
        <w:tc>
          <w:tcPr/>
          <w:p>
            <w:pPr>
              <w:pStyle w:val="Compact"/>
              <w:jc w:val="left"/>
            </w:pPr>
            <w:r>
              <w:t xml:space="preserve">$13,600.00</w:t>
            </w:r>
          </w:p>
        </w:tc>
        <w:tc>
          <w:tcPr/>
          <w:p>
            <w:pPr>
              <w:pStyle w:val="Compact"/>
              <w:jc w:val="left"/>
            </w:pPr>
            <w:r>
              <w:t xml:space="preserve">Where applicable</w:t>
            </w:r>
          </w:p>
        </w:tc>
      </w:tr>
      <w:tr>
        <w:tc>
          <w:tcPr>
            <w:gridSpan w:val="4"/>
          </w:tcPr>
          <w:p>
            <w:pPr>
              <w:pStyle w:val="Compact"/>
              <w:jc w:val="right"/>
            </w:pPr>
            <w:r>
              <w:t xml:space="preserve">PST (BC 7%)</w:t>
            </w:r>
          </w:p>
        </w:tc>
        <w:tc>
          <w:tcPr/>
          <w:p>
            <w:pPr>
              <w:pStyle w:val="Compact"/>
              <w:jc w:val="left"/>
            </w:pPr>
            <w:r>
              <w:t xml:space="preserve">$19,040.00</w:t>
            </w:r>
          </w:p>
        </w:tc>
        <w:tc>
          <w:tcPr/>
          <w:p>
            <w:pPr>
              <w:pStyle w:val="Compact"/>
              <w:jc w:val="left"/>
            </w:pPr>
            <w:r>
              <w:t xml:space="preserve">Where applicable</w:t>
            </w:r>
          </w:p>
        </w:tc>
      </w:tr>
      <w:tr>
        <w:tc>
          <w:tcPr>
            <w:gridSpan w:val="4"/>
          </w:tcPr>
          <w:p>
            <w:pPr>
              <w:pStyle w:val="Compact"/>
              <w:jc w:val="right"/>
            </w:pPr>
            <w:r>
              <w:t xml:space="preserve">TOTAL ESTIMATED COST (CAD)</w:t>
            </w:r>
          </w:p>
        </w:tc>
        <w:tc>
          <w:tcPr/>
          <w:p>
            <w:pPr>
              <w:pStyle w:val="Compact"/>
              <w:jc w:val="left"/>
            </w:pPr>
            <w:r>
              <w:t xml:space="preserve">$304,640.00</w:t>
            </w:r>
          </w:p>
        </w:tc>
        <w:tc>
          <w:tcPr/>
          <w:p>
            <w:pPr>
              <w:pStyle w:val="Compact"/>
            </w:pPr>
          </w:p>
        </w:tc>
      </w:tr>
    </w:tbl>
    <w:bookmarkEnd w:id="22"/>
    <w:bookmarkStart w:id="23" w:name="assumptions-and-exclusions"/>
    <w:p>
      <w:pPr>
        <w:pStyle w:val="Heading2"/>
      </w:pPr>
      <w:r>
        <w:t xml:space="preserve">3. Assumptions and Exclusions</w:t>
      </w:r>
    </w:p>
    <w:p>
      <w:pPr>
        <w:pStyle w:val="FirstParagraph"/>
      </w:pPr>
      <w:r>
        <w:t xml:space="preserve">This Quotation Estimate assumes that the Politician will provide timely access to all necessary materials, approvals, and decision-making authority. The following are explicitly excluded from this estimate: television and radio advertising airtime, print media advertising, candidate personal travel outside the Canada Vancouver metropolitan area, legal representation in litigation, and any costs arising from force majeure events. Should the Politician require additional services beyond the scope described herein, a supplementary Quotation Estimate will be issued prior to engagement.</w:t>
      </w:r>
    </w:p>
    <w:bookmarkEnd w:id="23"/>
    <w:bookmarkStart w:id="24" w:name="payment-terms"/>
    <w:p>
      <w:pPr>
        <w:pStyle w:val="Heading2"/>
      </w:pPr>
      <w:r>
        <w:t xml:space="preserve">4. Payment Terms</w:t>
      </w:r>
    </w:p>
    <w:p>
      <w:pPr>
        <w:pStyle w:val="FirstParagraph"/>
      </w:pPr>
      <w:r>
        <w:t xml:space="preserve">Payment shall be made in monthly installments of one-twelfth (1/12) of the total estimated cost, due on the 1st business day of each month. A 15% mobilization deposit is required upon acceptance of this Quotation Estimate. Late payments shall accrue interest at 1.5% per month as permitted under the</w:t>
      </w:r>
      <w:r>
        <w:t xml:space="preserve"> </w:t>
      </w:r>
      <w:r>
        <w:rPr>
          <w:iCs/>
          <w:i/>
        </w:rPr>
        <w:t xml:space="preserve">British Columbia Interest Act</w:t>
      </w:r>
      <w:r>
        <w:t xml:space="preserve">. All payments are to be made via EFT to the account designated by Northwest Political Consulting Group Ltd.</w:t>
      </w:r>
    </w:p>
    <w:bookmarkEnd w:id="24"/>
    <w:bookmarkStart w:id="25" w:name="delivery-and-performance-timeline"/>
    <w:p>
      <w:pPr>
        <w:pStyle w:val="Heading2"/>
      </w:pPr>
      <w:r>
        <w:t xml:space="preserve">5. Delivery and Performance Timeline</w:t>
      </w:r>
    </w:p>
    <w:p>
      <w:pPr>
        <w:pStyle w:val="FirstParagraph"/>
      </w:pPr>
      <w:r>
        <w:t xml:space="preserve">Services shall commence within five (5) business days of written acceptance of this Quotation Estimate. The Politician's office in Canada Vancouver shall be fully operational within fourteen (14) calendar days of commencement. Milestone deliverables will be tracked via a shared project management platform accessible to the Politician and their designated chief of staff.</w:t>
      </w:r>
    </w:p>
    <w:bookmarkEnd w:id="25"/>
    <w:bookmarkStart w:id="26" w:name="terms-and-conditions"/>
    <w:p>
      <w:pPr>
        <w:pStyle w:val="Heading2"/>
      </w:pPr>
      <w:r>
        <w:t xml:space="preserve">6. Terms and Conditions</w:t>
      </w:r>
    </w:p>
    <w:p>
      <w:pPr>
        <w:numPr>
          <w:ilvl w:val="0"/>
          <w:numId w:val="1001"/>
        </w:numPr>
        <w:pStyle w:val="Compact"/>
      </w:pPr>
      <w:r>
        <w:t xml:space="preserve">This Quotation Estimate is valid for thirty (30) days from the date of issue. After expiry, pricing may be adjusted to reflect market conditions in the Canada Vancouver political services sector.</w:t>
      </w:r>
    </w:p>
    <w:p>
      <w:pPr>
        <w:numPr>
          <w:ilvl w:val="0"/>
          <w:numId w:val="1001"/>
        </w:numPr>
        <w:pStyle w:val="Compact"/>
      </w:pPr>
      <w:r>
        <w:t xml:space="preserve">All services shall be performed in compliance with the</w:t>
      </w:r>
      <w:r>
        <w:t xml:space="preserve"> </w:t>
      </w:r>
      <w:r>
        <w:rPr>
          <w:iCs/>
          <w:i/>
        </w:rPr>
        <w:t xml:space="preserve">Canada Elections Act</w:t>
      </w:r>
      <w:r>
        <w:t xml:space="preserve">, the</w:t>
      </w:r>
      <w:r>
        <w:t xml:space="preserve"> </w:t>
      </w:r>
      <w:r>
        <w:rPr>
          <w:iCs/>
          <w:i/>
        </w:rPr>
        <w:t xml:space="preserve">BC Political Financing Act</w:t>
      </w:r>
      <w:r>
        <w:t xml:space="preserve">, the</w:t>
      </w:r>
      <w:r>
        <w:t xml:space="preserve"> </w:t>
      </w:r>
      <w:r>
        <w:rPr>
          <w:iCs/>
          <w:i/>
        </w:rPr>
        <w:t xml:space="preserve">City of Vancouver Bylaw</w:t>
      </w:r>
      <w:r>
        <w:t xml:space="preserve"> </w:t>
      </w:r>
      <w:r>
        <w:t xml:space="preserve">on political advertising, and the</w:t>
      </w:r>
      <w:r>
        <w:t xml:space="preserve"> </w:t>
      </w:r>
      <w:r>
        <w:rPr>
          <w:iCs/>
          <w:i/>
        </w:rPr>
        <w:t xml:space="preserve">Personal Information Protection Act (PIPA)</w:t>
      </w:r>
      <w:r>
        <w:t xml:space="preserve">.</w:t>
      </w:r>
    </w:p>
    <w:p>
      <w:pPr>
        <w:numPr>
          <w:ilvl w:val="0"/>
          <w:numId w:val="1001"/>
        </w:numPr>
        <w:pStyle w:val="Compact"/>
      </w:pPr>
      <w:r>
        <w:t xml:space="preserve">Confidentiality: All strategic materials, voter data, and internal communications pertaining to the Politician shall be treated as strictly confidential and shall not be disclosed to third parties without written consent.</w:t>
      </w:r>
    </w:p>
    <w:p>
      <w:pPr>
        <w:numPr>
          <w:ilvl w:val="0"/>
          <w:numId w:val="1001"/>
        </w:numPr>
        <w:pStyle w:val="Compact"/>
      </w:pPr>
      <w:r>
        <w:t xml:space="preserve">Termination: Either party may terminate the engagement with thirty (30) days written notice. In the event of early termination, the Politician shall be invoiced for all services rendered up to the termination date plus a 10% wind-down fee.</w:t>
      </w:r>
    </w:p>
    <w:p>
      <w:pPr>
        <w:numPr>
          <w:ilvl w:val="0"/>
          <w:numId w:val="1001"/>
        </w:numPr>
        <w:pStyle w:val="Compact"/>
      </w:pPr>
      <w:r>
        <w:t xml:space="preserve">Dispute Resolution: Any disputes arising from this Quotation Estimate shall be resolved through mediation in Vancouver, British Columbia, Canada, in accordance with the</w:t>
      </w:r>
      <w:r>
        <w:t xml:space="preserve"> </w:t>
      </w:r>
      <w:r>
        <w:rPr>
          <w:iCs/>
          <w:i/>
        </w:rPr>
        <w:t xml:space="preserve">BC Alternative Dispute Resolution Act</w:t>
      </w:r>
      <w:r>
        <w:t xml:space="preserve">.</w:t>
      </w:r>
    </w:p>
    <w:p>
      <w:pPr>
        <w:numPr>
          <w:ilvl w:val="0"/>
          <w:numId w:val="1001"/>
        </w:numPr>
        <w:pStyle w:val="Compact"/>
      </w:pPr>
      <w:r>
        <w:t xml:space="preserve">Intellectual Property: All campaign materials, research documents, and strategic plans created under this engagement shall remain the property of the Politician upon full payment.</w:t>
      </w:r>
    </w:p>
    <w:bookmarkEnd w:id="26"/>
    <w:bookmarkStart w:id="27" w:name="acceptance"/>
    <w:p>
      <w:pPr>
        <w:pStyle w:val="Heading2"/>
      </w:pPr>
      <w:r>
        <w:t xml:space="preserve">7. Acceptance</w:t>
      </w:r>
    </w:p>
    <w:p>
      <w:pPr>
        <w:pStyle w:val="FirstParagraph"/>
      </w:pPr>
      <w:r>
        <w:t xml:space="preserve">By signing below, the Politician (or their authorized representative) acknowledges receipt of this Quotation Estimate and agrees to the terms, conditions, and cost projections outlined herein. This signature constitutes a binding agreement for the services described, subject to the jurisdiction of British Columbia, Canada.</w:t>
      </w:r>
    </w:p>
    <w:p>
      <w:pPr>
        <w:pStyle w:val="BodyText"/>
      </w:pPr>
      <w:r>
        <w:rPr>
          <w:bCs/>
          <w:b/>
        </w:rPr>
        <w:t xml:space="preserve">For the Politician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Northwest Political Consulting Group Ltd.:</w:t>
      </w:r>
    </w:p>
    <w:p>
      <w:pPr>
        <w:pStyle w:val="BodyText"/>
      </w:pPr>
      <w:r>
        <w:t xml:space="preserve">Name: David Chen</w:t>
      </w:r>
      <w:r>
        <w:br/>
      </w:r>
      <w:r>
        <w:t xml:space="preserve">Title: Senior Account Director</w:t>
      </w:r>
      <w:r>
        <w:br/>
      </w:r>
      <w:r>
        <w:t xml:space="preserve">Signature: ______________________________</w:t>
      </w:r>
      <w:r>
        <w:br/>
      </w:r>
      <w:r>
        <w:t xml:space="preserve">Date: ______________________________</w:t>
      </w:r>
    </w:p>
    <w:p>
      <w:pPr>
        <w:pStyle w:val="BodyText"/>
      </w:pPr>
      <w:r>
        <w:t xml:space="preserve">Northwest Political Consulting Group Ltd. | 888 West Georgia Street, Suite 1400, Vancouver, BC V6C 3E5, Canada</w:t>
      </w:r>
      <w:r>
        <w:br/>
      </w:r>
      <w:r>
        <w:t xml:space="preserve">Quotation Estimate No. QEST-VAN-2025-04782 | This document is confidential and intended solely for the named Politician and their authorized representatives.</w:t>
      </w:r>
      <w:r>
        <w:br/>
      </w:r>
      <w:r>
        <w:t xml:space="preserve">© 2025 Northwest Political Consulting Group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Canada Vancouver</dc:title>
  <dc:creator/>
  <dc:language>en</dc:language>
  <cp:keywords/>
  <dcterms:created xsi:type="dcterms:W3CDTF">2026-10-10T02:35:41Z</dcterms:created>
  <dcterms:modified xsi:type="dcterms:W3CDTF">2026-10-10T02:35:41Z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