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Politician</w:t>
      </w:r>
      <w:r>
        <w:t xml:space="preserve"> </w:t>
      </w:r>
      <w:r>
        <w:t xml:space="preserve">Advisory</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Professional Political Advisory &amp; Campaign Management Services</w:t>
      </w:r>
    </w:p>
    <w:p>
      <w:pPr>
        <w:pStyle w:val="BodyText"/>
      </w:pPr>
      <w:r>
        <w:t xml:space="preserve">Nile Delta Political Consulting Group — Cairo, Egypt</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QTE-EGY-CAI-2025-0472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Prepared For (Client):</w:t>
            </w:r>
          </w:p>
        </w:tc>
        <w:tc>
          <w:tcPr/>
          <w:p>
            <w:pPr>
              <w:pStyle w:val="Compact"/>
              <w:jc w:val="left"/>
            </w:pPr>
            <w:r>
              <w:t xml:space="preserve">The Honorable Politician, Dr. Ahmed El-Sayed Hassan</w:t>
            </w:r>
            <w:r>
              <w:br/>
            </w:r>
            <w:r>
              <w:t xml:space="preserve">Member of the House of Representatives — Cairo Governorate Constituency</w:t>
            </w:r>
          </w:p>
        </w:tc>
      </w:tr>
      <w:tr>
        <w:tc>
          <w:tcPr/>
          <w:p>
            <w:pPr>
              <w:pStyle w:val="Compact"/>
              <w:jc w:val="left"/>
            </w:pPr>
            <w:r>
              <w:t xml:space="preserve">Prepared By:</w:t>
            </w:r>
          </w:p>
        </w:tc>
        <w:tc>
          <w:tcPr/>
          <w:p>
            <w:pPr>
              <w:pStyle w:val="Compact"/>
              <w:jc w:val="left"/>
            </w:pPr>
            <w:r>
              <w:t xml:space="preserve">Nile Delta Political Consulting Group</w:t>
            </w:r>
            <w:r>
              <w:br/>
            </w:r>
            <w:r>
              <w:t xml:space="preserve">12 Tahrir Square, Downtown, Cairo 11566, Egypt</w:t>
            </w:r>
            <w:r>
              <w:br/>
            </w:r>
            <w:r>
              <w:t xml:space="preserve">Tel: +20 2 2578 4410  |  Email: estimates@niledeltapc.com.eg</w:t>
            </w:r>
          </w:p>
        </w:tc>
      </w:tr>
      <w:tr>
        <w:tc>
          <w:tcPr/>
          <w:p>
            <w:pPr>
              <w:pStyle w:val="Compact"/>
              <w:jc w:val="left"/>
            </w:pPr>
            <w:r>
              <w:t xml:space="preserve">Currency:</w:t>
            </w:r>
          </w:p>
        </w:tc>
        <w:tc>
          <w:tcPr/>
          <w:p>
            <w:pPr>
              <w:pStyle w:val="Compact"/>
              <w:jc w:val="left"/>
            </w:pPr>
            <w:r>
              <w:t xml:space="preserve">Egyptian Pound (EGP) — Central Bank of Egypt reference rate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Nile Delta Political Consulting Group in response to the formal request submitted by the above-named</w:t>
      </w:r>
      <w:r>
        <w:t xml:space="preserve"> </w:t>
      </w:r>
      <w:r>
        <w:t xml:space="preserve">Politician</w:t>
      </w:r>
      <w:r>
        <w:t xml:space="preserve"> </w:t>
      </w:r>
      <w:r>
        <w:t xml:space="preserve">for comprehensive advisory, strategic planning, and public engagement services to be delivered within the metropolitan area of</w:t>
      </w:r>
      <w:r>
        <w:t xml:space="preserve"> </w:t>
      </w:r>
      <w:r>
        <w:t xml:space="preserve">Egypt Cairo</w:t>
      </w:r>
      <w:r>
        <w:t xml:space="preserve"> </w:t>
      </w:r>
      <w:r>
        <w:t xml:space="preserve">and its surrounding governorate districts. The scope encompasses a full electoral cycle support package, including but not limited to policy research, media strategy, constituency outreach programs, and legislative briefing preparation. All services described herein are tailored specifically to the political landscape of</w:t>
      </w:r>
      <w:r>
        <w:t xml:space="preserve"> </w:t>
      </w:r>
      <w:r>
        <w:t xml:space="preserve">Egypt Cairo</w:t>
      </w:r>
      <w:r>
        <w:t xml:space="preserve">, taking into account local electoral regulations, cultural sensitivities, and the unique demographic profile of the Cairo metropolitan region.</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(EGP)</w:t>
            </w:r>
          </w:p>
        </w:tc>
        <w:tc>
          <w:tcPr/>
          <w:p>
            <w:pPr>
              <w:pStyle w:val="Compact"/>
              <w:jc w:val="left"/>
            </w:pPr>
            <w:r>
              <w:t xml:space="preserve">Subtotal (EGP)</w:t>
            </w:r>
          </w:p>
        </w:tc>
        <w:tc>
          <w:tcPr/>
          <w:p>
            <w:pPr>
              <w:pStyle w:val="Compact"/>
              <w:jc w:val="left"/>
            </w:pPr>
            <w:r>
              <w:t xml:space="preserve">Remarks</w:t>
            </w:r>
          </w:p>
        </w:tc>
      </w:tr>
      <w:tr>
        <w:tc>
          <w:tcPr/>
          <w:p>
            <w:pPr>
              <w:pStyle w:val="Compact"/>
              <w:jc w:val="left"/>
            </w:pPr>
            <w:r>
              <w:t xml:space="preserve">01</w:t>
            </w:r>
          </w:p>
        </w:tc>
        <w:tc>
          <w:tcPr/>
          <w:p>
            <w:pPr>
              <w:pStyle w:val="Compact"/>
              <w:jc w:val="left"/>
            </w:pPr>
            <w:r>
              <w:t xml:space="preserve">Strategic Campaign Planning &amp; Political Positioning for the</w:t>
            </w:r>
            <w:r>
              <w:t xml:space="preserve"> </w:t>
            </w:r>
            <w:r>
              <w:t xml:space="preserve">Politician</w:t>
            </w:r>
            <w:r>
              <w:t xml:space="preserve"> </w:t>
            </w:r>
            <w:r>
              <w:t xml:space="preserve">in the Cairo metropolitan electoral district</w:t>
            </w:r>
          </w:p>
        </w:tc>
        <w:tc>
          <w:tcPr/>
          <w:p>
            <w:pPr>
              <w:pStyle w:val="Compact"/>
              <w:jc w:val="left"/>
            </w:pPr>
            <w:r>
              <w:t xml:space="preserve">12 months</w:t>
            </w:r>
          </w:p>
        </w:tc>
        <w:tc>
          <w:tcPr/>
          <w:p>
            <w:pPr>
              <w:pStyle w:val="Compact"/>
              <w:jc w:val="left"/>
            </w:pPr>
            <w:r>
              <w:t xml:space="preserve">85,000</w:t>
            </w:r>
          </w:p>
        </w:tc>
        <w:tc>
          <w:tcPr/>
          <w:p>
            <w:pPr>
              <w:pStyle w:val="Compact"/>
              <w:jc w:val="left"/>
            </w:pPr>
            <w:r>
              <w:t xml:space="preserve">1,020,000</w:t>
            </w:r>
          </w:p>
        </w:tc>
        <w:tc>
          <w:tcPr/>
          <w:p>
            <w:pPr>
              <w:pStyle w:val="Compact"/>
              <w:jc w:val="left"/>
            </w:pPr>
            <w:r>
              <w:t xml:space="preserve">Includes 4 quarterly strategy reviews</w:t>
            </w:r>
          </w:p>
        </w:tc>
      </w:tr>
      <w:tr>
        <w:tc>
          <w:tcPr/>
          <w:p>
            <w:pPr>
              <w:pStyle w:val="Compact"/>
              <w:jc w:val="left"/>
            </w:pPr>
            <w:r>
              <w:t xml:space="preserve">02</w:t>
            </w:r>
          </w:p>
        </w:tc>
        <w:tc>
          <w:tcPr/>
          <w:p>
            <w:pPr>
              <w:pStyle w:val="Compact"/>
              <w:jc w:val="left"/>
            </w:pPr>
            <w:r>
              <w:t xml:space="preserve">Constituency Outreach &amp; Public Engagement Events across 15 districts of</w:t>
            </w:r>
            <w:r>
              <w:t xml:space="preserve"> </w:t>
            </w:r>
            <w:r>
              <w:t xml:space="preserve">Egypt Cairo</w:t>
            </w:r>
          </w:p>
        </w:tc>
        <w:tc>
          <w:tcPr/>
          <w:p>
            <w:pPr>
              <w:pStyle w:val="Compact"/>
              <w:jc w:val="left"/>
            </w:pPr>
            <w:r>
              <w:t xml:space="preserve">20 events</w:t>
            </w:r>
          </w:p>
        </w:tc>
        <w:tc>
          <w:tcPr/>
          <w:p>
            <w:pPr>
              <w:pStyle w:val="Compact"/>
              <w:jc w:val="left"/>
            </w:pPr>
            <w:r>
              <w:t xml:space="preserve">42,000</w:t>
            </w:r>
          </w:p>
        </w:tc>
        <w:tc>
          <w:tcPr/>
          <w:p>
            <w:pPr>
              <w:pStyle w:val="Compact"/>
              <w:jc w:val="left"/>
            </w:pPr>
            <w:r>
              <w:t xml:space="preserve">840,000</w:t>
            </w:r>
          </w:p>
        </w:tc>
        <w:tc>
          <w:tcPr/>
          <w:p>
            <w:pPr>
              <w:pStyle w:val="Compact"/>
              <w:jc w:val="left"/>
            </w:pPr>
            <w:r>
              <w:t xml:space="preserve">Venue, logistics, and volunteer coordination</w:t>
            </w:r>
          </w:p>
        </w:tc>
      </w:tr>
      <w:tr>
        <w:tc>
          <w:tcPr/>
          <w:p>
            <w:pPr>
              <w:pStyle w:val="Compact"/>
              <w:jc w:val="left"/>
            </w:pPr>
            <w:r>
              <w:t xml:space="preserve">03</w:t>
            </w:r>
          </w:p>
        </w:tc>
        <w:tc>
          <w:tcPr/>
          <w:p>
            <w:pPr>
              <w:pStyle w:val="Compact"/>
              <w:jc w:val="left"/>
            </w:pPr>
            <w:r>
              <w:t xml:space="preserve">Media &amp; Digital Communications Management (Arabic &amp; English channels)</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c>
          <w:tcPr/>
          <w:p>
            <w:pPr>
              <w:pStyle w:val="Compact"/>
              <w:jc w:val="left"/>
            </w:pPr>
            <w:r>
              <w:t xml:space="preserve">Social media, press releases, TV appearances</w:t>
            </w:r>
          </w:p>
        </w:tc>
      </w:tr>
      <w:tr>
        <w:tc>
          <w:tcPr/>
          <w:p>
            <w:pPr>
              <w:pStyle w:val="Compact"/>
              <w:jc w:val="left"/>
            </w:pPr>
            <w:r>
              <w:t xml:space="preserve">04</w:t>
            </w:r>
          </w:p>
        </w:tc>
        <w:tc>
          <w:tcPr/>
          <w:p>
            <w:pPr>
              <w:pStyle w:val="Compact"/>
              <w:jc w:val="left"/>
            </w:pPr>
            <w:r>
              <w:t xml:space="preserve">Policy Research &amp; Legislative Briefing Preparation for the</w:t>
            </w:r>
            <w:r>
              <w:t xml:space="preserve"> </w:t>
            </w:r>
            <w:r>
              <w:t xml:space="preserve">Politician</w:t>
            </w:r>
          </w:p>
        </w:tc>
        <w:tc>
          <w:tcPr/>
          <w:p>
            <w:pPr>
              <w:pStyle w:val="Compact"/>
              <w:jc w:val="left"/>
            </w:pPr>
            <w:r>
              <w:t xml:space="preserve">48 briefs</w:t>
            </w:r>
          </w:p>
        </w:tc>
        <w:tc>
          <w:tcPr/>
          <w:p>
            <w:pPr>
              <w:pStyle w:val="Compact"/>
              <w:jc w:val="left"/>
            </w:pPr>
            <w:r>
              <w:t xml:space="preserve">12,500</w:t>
            </w:r>
          </w:p>
        </w:tc>
        <w:tc>
          <w:tcPr/>
          <w:p>
            <w:pPr>
              <w:pStyle w:val="Compact"/>
              <w:jc w:val="left"/>
            </w:pPr>
            <w:r>
              <w:t xml:space="preserve">600,000</w:t>
            </w:r>
          </w:p>
        </w:tc>
        <w:tc>
          <w:tcPr/>
          <w:p>
            <w:pPr>
              <w:pStyle w:val="Compact"/>
              <w:jc w:val="left"/>
            </w:pPr>
            <w:r>
              <w:t xml:space="preserve">Monthly deliverables, peer-reviewed</w:t>
            </w:r>
          </w:p>
        </w:tc>
      </w:tr>
      <w:tr>
        <w:tc>
          <w:tcPr/>
          <w:p>
            <w:pPr>
              <w:pStyle w:val="Compact"/>
              <w:jc w:val="left"/>
            </w:pPr>
            <w:r>
              <w:t xml:space="preserve">05</w:t>
            </w:r>
          </w:p>
        </w:tc>
        <w:tc>
          <w:tcPr/>
          <w:p>
            <w:pPr>
              <w:pStyle w:val="Compact"/>
              <w:jc w:val="left"/>
            </w:pPr>
            <w:r>
              <w:t xml:space="preserve">Public Speaking Coaching &amp; Debate Preparation (Cairo-based sessions)</w:t>
            </w:r>
          </w:p>
        </w:tc>
        <w:tc>
          <w:tcPr/>
          <w:p>
            <w:pPr>
              <w:pStyle w:val="Compact"/>
              <w:jc w:val="left"/>
            </w:pPr>
            <w:r>
              <w:t xml:space="preserve">24 sessions</w:t>
            </w:r>
          </w:p>
        </w:tc>
        <w:tc>
          <w:tcPr/>
          <w:p>
            <w:pPr>
              <w:pStyle w:val="Compact"/>
              <w:jc w:val="left"/>
            </w:pPr>
            <w:r>
              <w:t xml:space="preserve">8,000</w:t>
            </w:r>
          </w:p>
        </w:tc>
        <w:tc>
          <w:tcPr/>
          <w:p>
            <w:pPr>
              <w:pStyle w:val="Compact"/>
              <w:jc w:val="left"/>
            </w:pPr>
            <w:r>
              <w:t xml:space="preserve">192,000</w:t>
            </w:r>
          </w:p>
        </w:tc>
        <w:tc>
          <w:tcPr/>
          <w:p>
            <w:pPr>
              <w:pStyle w:val="Compact"/>
              <w:jc w:val="left"/>
            </w:pPr>
            <w:r>
              <w:t xml:space="preserve">Conducted at our Cairo headquarters</w:t>
            </w:r>
          </w:p>
        </w:tc>
      </w:tr>
      <w:tr>
        <w:tc>
          <w:tcPr/>
          <w:p>
            <w:pPr>
              <w:pStyle w:val="Compact"/>
              <w:jc w:val="left"/>
            </w:pPr>
            <w:r>
              <w:t xml:space="preserve">06</w:t>
            </w:r>
          </w:p>
        </w:tc>
        <w:tc>
          <w:tcPr/>
          <w:p>
            <w:pPr>
              <w:pStyle w:val="Compact"/>
              <w:jc w:val="left"/>
            </w:pPr>
            <w:r>
              <w:t xml:space="preserve">Stakeholder Mapping &amp; Coalition Building within</w:t>
            </w:r>
            <w:r>
              <w:t xml:space="preserve"> </w:t>
            </w:r>
            <w:r>
              <w:t xml:space="preserve">Egypt Cairo</w:t>
            </w:r>
            <w:r>
              <w:t xml:space="preserve"> </w:t>
            </w:r>
            <w:r>
              <w:t xml:space="preserve">civic organizations</w:t>
            </w:r>
          </w:p>
        </w:tc>
        <w:tc>
          <w:tcPr/>
          <w:p>
            <w:pPr>
              <w:pStyle w:val="Compact"/>
              <w:jc w:val="left"/>
            </w:pPr>
            <w:r>
              <w:t xml:space="preserve">6 months</w:t>
            </w:r>
          </w:p>
        </w:tc>
        <w:tc>
          <w:tcPr/>
          <w:p>
            <w:pPr>
              <w:pStyle w:val="Compact"/>
              <w:jc w:val="left"/>
            </w:pPr>
            <w:r>
              <w:t xml:space="preserve">55,000</w:t>
            </w:r>
          </w:p>
        </w:tc>
        <w:tc>
          <w:tcPr/>
          <w:p>
            <w:pPr>
              <w:pStyle w:val="Compact"/>
              <w:jc w:val="left"/>
            </w:pPr>
            <w:r>
              <w:t xml:space="preserve">330,000</w:t>
            </w:r>
          </w:p>
        </w:tc>
        <w:tc>
          <w:tcPr/>
          <w:p>
            <w:pPr>
              <w:pStyle w:val="Compact"/>
              <w:jc w:val="left"/>
            </w:pPr>
            <w:r>
              <w:t xml:space="preserve">NGOs, business chambers, academic institutions</w:t>
            </w:r>
          </w:p>
        </w:tc>
      </w:tr>
      <w:tr>
        <w:tc>
          <w:tcPr/>
          <w:p>
            <w:pPr>
              <w:pStyle w:val="Compact"/>
              <w:jc w:val="left"/>
            </w:pPr>
            <w:r>
              <w:t xml:space="preserve">07</w:t>
            </w:r>
          </w:p>
        </w:tc>
        <w:tc>
          <w:tcPr/>
          <w:p>
            <w:pPr>
              <w:pStyle w:val="Compact"/>
              <w:jc w:val="left"/>
            </w:pPr>
            <w:r>
              <w:t xml:space="preserve">Crisis Communication &amp; Reputation Management Retainer</w:t>
            </w:r>
          </w:p>
        </w:tc>
        <w:tc>
          <w:tcPr/>
          <w:p>
            <w:pPr>
              <w:pStyle w:val="Compact"/>
              <w:jc w:val="left"/>
            </w:pPr>
            <w:r>
              <w:t xml:space="preserve">12 months</w:t>
            </w:r>
          </w:p>
        </w:tc>
        <w:tc>
          <w:tcPr/>
          <w:p>
            <w:pPr>
              <w:pStyle w:val="Compact"/>
              <w:jc w:val="left"/>
            </w:pPr>
            <w:r>
              <w:t xml:space="preserve">30,000</w:t>
            </w:r>
          </w:p>
        </w:tc>
        <w:tc>
          <w:tcPr/>
          <w:p>
            <w:pPr>
              <w:pStyle w:val="Compact"/>
              <w:jc w:val="left"/>
            </w:pPr>
            <w:r>
              <w:t xml:space="preserve">360,000</w:t>
            </w:r>
          </w:p>
        </w:tc>
        <w:tc>
          <w:tcPr/>
          <w:p>
            <w:pPr>
              <w:pStyle w:val="Compact"/>
              <w:jc w:val="left"/>
            </w:pPr>
            <w:r>
              <w:t xml:space="preserve">24/7 on-call availability</w:t>
            </w:r>
          </w:p>
        </w:tc>
      </w:tr>
      <w:tr>
        <w:tc>
          <w:tcPr/>
          <w:p>
            <w:pPr>
              <w:pStyle w:val="Compact"/>
              <w:jc w:val="left"/>
            </w:pPr>
            <w:r>
              <w:t xml:space="preserve">08</w:t>
            </w:r>
          </w:p>
        </w:tc>
        <w:tc>
          <w:tcPr/>
          <w:p>
            <w:pPr>
              <w:pStyle w:val="Compact"/>
              <w:jc w:val="left"/>
            </w:pPr>
            <w:r>
              <w:t xml:space="preserve">Electoral Compliance &amp; Legal Advisory (Egyptian Electoral Commission regulations)</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300,000</w:t>
            </w:r>
          </w:p>
        </w:tc>
        <w:tc>
          <w:tcPr/>
          <w:p>
            <w:pPr>
              <w:pStyle w:val="Compact"/>
              <w:jc w:val="left"/>
            </w:pPr>
            <w:r>
              <w:t xml:space="preserve">Ensures full regulatory compliance</w:t>
            </w:r>
          </w:p>
        </w:tc>
      </w:tr>
      <w:tr>
        <w:tc>
          <w:tcPr>
            <w:gridSpan w:val="4"/>
          </w:tcPr>
          <w:p>
            <w:pPr>
              <w:pStyle w:val="Compact"/>
              <w:jc w:val="left"/>
            </w:pPr>
            <w:r>
              <w:t xml:space="preserve">TOTAL QUOTATION ESTIMATE (Before VAT)</w:t>
            </w:r>
          </w:p>
        </w:tc>
        <w:tc>
          <w:tcPr/>
          <w:p>
            <w:pPr>
              <w:pStyle w:val="Compact"/>
              <w:jc w:val="left"/>
            </w:pPr>
            <w:r>
              <w:t xml:space="preserve">4,422,000</w:t>
            </w:r>
          </w:p>
        </w:tc>
        <w:tc>
          <w:tcPr/>
          <w:p>
            <w:pPr>
              <w:pStyle w:val="Compact"/>
            </w:pPr>
          </w:p>
        </w:tc>
      </w:tr>
      <w:tr>
        <w:tc>
          <w:tcPr>
            <w:gridSpan w:val="4"/>
          </w:tcPr>
          <w:p>
            <w:pPr>
              <w:pStyle w:val="Compact"/>
              <w:jc w:val="left"/>
            </w:pPr>
            <w:r>
              <w:t xml:space="preserve">VAT (14% — Egyptian Tax Authority)</w:t>
            </w:r>
          </w:p>
        </w:tc>
        <w:tc>
          <w:tcPr/>
          <w:p>
            <w:pPr>
              <w:pStyle w:val="Compact"/>
              <w:jc w:val="left"/>
            </w:pPr>
            <w:r>
              <w:t xml:space="preserve">619,080</w:t>
            </w:r>
          </w:p>
        </w:tc>
        <w:tc>
          <w:tcPr/>
          <w:p>
            <w:pPr>
              <w:pStyle w:val="Compact"/>
            </w:pPr>
          </w:p>
        </w:tc>
      </w:tr>
      <w:tr>
        <w:tc>
          <w:tcPr>
            <w:gridSpan w:val="4"/>
          </w:tcPr>
          <w:p>
            <w:pPr>
              <w:pStyle w:val="Compact"/>
              <w:jc w:val="left"/>
            </w:pPr>
            <w:r>
              <w:t xml:space="preserve">GRAND TOTAL</w:t>
            </w:r>
          </w:p>
        </w:tc>
        <w:tc>
          <w:tcPr/>
          <w:p>
            <w:pPr>
              <w:pStyle w:val="Compact"/>
              <w:jc w:val="left"/>
            </w:pPr>
            <w:r>
              <w:t xml:space="preserve">5,041,080 EGP</w:t>
            </w:r>
          </w:p>
        </w:tc>
        <w:tc>
          <w:tcPr/>
          <w:p>
            <w:pPr>
              <w:pStyle w:val="Compact"/>
            </w:pP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Acceptance:</w:t>
      </w:r>
      <w:r>
        <w:t xml:space="preserve"> </w:t>
      </w:r>
      <w:r>
        <w:t xml:space="preserve">This Quotation Estimate shall become a binding service agreement upon written acceptance and signature by both the Politician (or authorized representative) and Nile Delta Political Consulting Group within the stated validity period.</w:t>
      </w:r>
    </w:p>
    <w:p>
      <w:pPr>
        <w:numPr>
          <w:ilvl w:val="0"/>
          <w:numId w:val="1001"/>
        </w:numPr>
        <w:pStyle w:val="Compact"/>
      </w:pPr>
      <w:r>
        <w:rPr>
          <w:bCs/>
          <w:b/>
        </w:rPr>
        <w:t xml:space="preserve">Payment Schedule:</w:t>
      </w:r>
      <w:r>
        <w:t xml:space="preserve"> </w:t>
      </w:r>
      <w:r>
        <w:t xml:space="preserve">A 30% advance payment is due upon contract execution. The remaining 70% shall be invoiced in four equal quarterly installments, payable within 15 business days of each invoice date. All payments shall be made in Egyptian Pounds via bank transfer to our account at the National Bank of Egypt, Cairo branch.</w:t>
      </w:r>
    </w:p>
    <w:p>
      <w:pPr>
        <w:numPr>
          <w:ilvl w:val="0"/>
          <w:numId w:val="1001"/>
        </w:numPr>
        <w:pStyle w:val="Compact"/>
      </w:pPr>
      <w:r>
        <w:rPr>
          <w:bCs/>
          <w:b/>
        </w:rPr>
        <w:t xml:space="preserve">Service Delivery Location:</w:t>
      </w:r>
      <w:r>
        <w:t xml:space="preserve"> </w:t>
      </w:r>
      <w:r>
        <w:t xml:space="preserve">All on-site services, meetings, and events referenced in this Quotation Estimate shall be conducted within the administrative boundaries of Egypt Cairo, including the districts of Downtown, Zamalek, Maadi, Heliopolis, Nasr City, and Giza-adjacent constituencies.</w:t>
      </w:r>
    </w:p>
    <w:p>
      <w:pPr>
        <w:numPr>
          <w:ilvl w:val="0"/>
          <w:numId w:val="1001"/>
        </w:numPr>
        <w:pStyle w:val="Compact"/>
      </w:pPr>
      <w:r>
        <w:rPr>
          <w:bCs/>
          <w:b/>
        </w:rPr>
        <w:t xml:space="preserve">Confidentiality:</w:t>
      </w:r>
      <w:r>
        <w:t xml:space="preserve"> </w:t>
      </w:r>
      <w:r>
        <w:t xml:space="preserve">All strategic materials, voter data, and internal communications pertaining to the Politician shall be treated as strictly confidential and shall not be disclosed to any third party without written consent, in accordance with Egyptian data protection legislation.</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government-mandated restrictions, public health emergencies, or civil unrest affecting the Egypt Cairo region.</w:t>
      </w:r>
    </w:p>
    <w:p>
      <w:pPr>
        <w:numPr>
          <w:ilvl w:val="0"/>
          <w:numId w:val="1001"/>
        </w:numPr>
        <w:pStyle w:val="Compact"/>
      </w:pPr>
      <w:r>
        <w:rPr>
          <w:bCs/>
          <w:b/>
        </w:rPr>
        <w:t xml:space="preserve">Termination:</w:t>
      </w:r>
      <w:r>
        <w:t xml:space="preserve"> </w:t>
      </w:r>
      <w:r>
        <w:t xml:space="preserve">Either party may terminate this agreement with 30 days written notice. In the event of early termination, the Politician shall be liable for all services rendered up to the termination date plus a 10% administrative fee.</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Arab Republic of Egypt. Any disputes shall be resolved through the competent courts of Cairo.</w:t>
      </w:r>
    </w:p>
    <w:bookmarkEnd w:id="23"/>
    <w:bookmarkStart w:id="24" w:name="additional-notes"/>
    <w:p>
      <w:pPr>
        <w:pStyle w:val="Heading2"/>
      </w:pPr>
      <w:r>
        <w:t xml:space="preserve">4. Additional Notes</w:t>
      </w:r>
    </w:p>
    <w:p>
      <w:pPr>
        <w:pStyle w:val="FirstParagraph"/>
      </w:pPr>
      <w:r>
        <w:t xml:space="preserve">The figures presented in this Quotation Estimate are based on current market rates in Egypt Cairo as of June 2025 and are subject to adjustment should there be significant changes in operational costs, exchange rates, or regulatory requirements during the service period. Nile Delta Political Consulting Group reserves the right to update this estimate with prior written notice to the Politician. All personnel assigned to this engagement are vetted, locally based professionals with extensive experience in Egyptian political affairs and a deep understanding of the Cairo electorate.</w:t>
      </w:r>
    </w:p>
    <w:p>
      <w:pPr>
        <w:pStyle w:val="BodyText"/>
      </w:pPr>
      <w:r>
        <w:rPr>
          <w:bCs/>
          <w:b/>
        </w:rPr>
        <w:t xml:space="preserve">For Nile Delta Political Consulting Group</w:t>
      </w:r>
    </w:p>
    <w:p>
      <w:pPr>
        <w:pStyle w:val="BodyText"/>
      </w:pPr>
      <w:r>
        <w:rPr>
          <w:bCs/>
          <w:b/>
        </w:rPr>
        <w:t xml:space="preserve">Eng. Mona Fathy Abdel-Rahman</w:t>
      </w:r>
      <w:r>
        <w:br/>
      </w:r>
      <w:r>
        <w:t xml:space="preserve">Managing Director</w:t>
      </w:r>
      <w:r>
        <w:br/>
      </w:r>
      <w:r>
        <w:t xml:space="preserve">Date: _______________</w:t>
      </w:r>
    </w:p>
    <w:p>
      <w:pPr>
        <w:pStyle w:val="BodyText"/>
      </w:pPr>
      <w:r>
        <w:rPr>
          <w:bCs/>
          <w:b/>
        </w:rPr>
        <w:t xml:space="preserve">Accepted by the Politician / Authorized Representative</w:t>
      </w:r>
    </w:p>
    <w:p>
      <w:pPr>
        <w:pStyle w:val="BodyText"/>
      </w:pPr>
      <w:r>
        <w:rPr>
          <w:bCs/>
          <w:b/>
        </w:rPr>
        <w:t xml:space="preserve">Dr. Ahmed El-Sayed Hassan</w:t>
      </w:r>
      <w:r>
        <w:br/>
      </w:r>
      <w:r>
        <w:t xml:space="preserve">Member of Parliament, Cairo</w:t>
      </w:r>
      <w:r>
        <w:br/>
      </w:r>
      <w:r>
        <w:t xml:space="preserve">Date: _______________</w:t>
      </w:r>
    </w:p>
    <w:p>
      <w:pPr>
        <w:pStyle w:val="BodyText"/>
      </w:pPr>
      <w:r>
        <w:t xml:space="preserve">Nile Delta Political Consulting Group — 12 Tahrir Square, Downtown, Cairo 11566, Egypt</w:t>
      </w:r>
      <w:r>
        <w:br/>
      </w:r>
      <w:r>
        <w:t xml:space="preserve">Commercial Registration No. 184729 — Tax ID: 552-881-334-001</w:t>
      </w:r>
      <w:r>
        <w:br/>
      </w:r>
      <w:r>
        <w:t xml:space="preserve">This Quotation Estimate is valid for 30 days. Please reference QTE-EGY-CAI-2025-0472 in all correspondence.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Politician Advisory Services - Egypt Cairo</dc:title>
  <dc:creator/>
  <dc:language>en</dc:language>
  <cp:keywords/>
  <dcterms:created xsi:type="dcterms:W3CDTF">2026-10-10T01:22:15Z</dcterms:created>
  <dcterms:modified xsi:type="dcterms:W3CDTF">2026-10-10T01:22:15Z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