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Political Advisory &amp; Campaign Strategy Services</w:t>
      </w:r>
    </w:p>
    <w:p>
      <w:pPr>
        <w:pStyle w:val="BodyText"/>
      </w:pPr>
      <w:r>
        <w:t xml:space="preserve">Prepared for use in</w:t>
      </w:r>
      <w:r>
        <w:t xml:space="preserve"> </w:t>
      </w:r>
      <w:r>
        <w:rPr>
          <w:bCs/>
          <w:b/>
        </w:rPr>
        <w:t xml:space="preserve">Ethiopia, Addis Ababa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QTE-ETH-2025-04782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Ethiopian Birr (ETB) / USD</w:t>
            </w:r>
          </w:p>
        </w:tc>
      </w:tr>
      <w:tr>
        <w:tc>
          <w:tcPr/>
          <w:p>
            <w:pPr>
              <w:pStyle w:val="Compact"/>
              <w:jc w:val="left"/>
            </w:pPr>
            <w:r>
              <w:t xml:space="preserve">Prepared By:</w:t>
            </w:r>
          </w:p>
        </w:tc>
        <w:tc>
          <w:tcPr>
            <w:gridSpan w:val="3"/>
          </w:tcPr>
          <w:p>
            <w:pPr>
              <w:pStyle w:val="Compact"/>
              <w:jc w:val="left"/>
            </w:pPr>
            <w:r>
              <w:t xml:space="preserve">Horn of Africa Political Consultancy Group, Bole Road, Addis Ababa, Ethiopia</w:t>
            </w:r>
          </w:p>
        </w:tc>
      </w:tr>
      <w:tr>
        <w:tc>
          <w:tcPr/>
          <w:p>
            <w:pPr>
              <w:pStyle w:val="Compact"/>
              <w:jc w:val="left"/>
            </w:pPr>
            <w:r>
              <w:t xml:space="preserve">Prepared For:</w:t>
            </w:r>
          </w:p>
        </w:tc>
        <w:tc>
          <w:tcPr>
            <w:gridSpan w:val="3"/>
          </w:tcPr>
          <w:p>
            <w:pPr>
              <w:pStyle w:val="Compact"/>
              <w:jc w:val="left"/>
            </w:pPr>
            <w:r>
              <w:t xml:space="preserve">Hon. [Politician Name], Member of the House of Peoples' Representatives, Addis Ababa, Ethiopia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Horn of Africa Political Consultancy Group to provide a comprehensive, itemized breakdown of professional services to be rendered in support of a</w:t>
      </w:r>
      <w:r>
        <w:t xml:space="preserve"> </w:t>
      </w:r>
      <w:r>
        <w:t xml:space="preserve">Politician</w:t>
      </w:r>
      <w:r>
        <w:t xml:space="preserve"> </w:t>
      </w:r>
      <w:r>
        <w:t xml:space="preserve">operating within the political landscape of</w:t>
      </w:r>
      <w:r>
        <w:t xml:space="preserve"> </w:t>
      </w:r>
      <w:r>
        <w:t xml:space="preserve">Ethiopia, Addis Ababa</w:t>
      </w:r>
      <w:r>
        <w:t xml:space="preserve">. The scope of work outlined herein encompasses strategic political advisory, public communication management, legislative research support, and constituency engagement planning. All pricing reflects current market rates applicable to the Addis Ababa metropolitan area and complies with the regulatory framework governing professional services in the Federal Democratic Republic of Ethiopia.</w:t>
      </w:r>
    </w:p>
    <w:bookmarkEnd w:id="21"/>
    <w:bookmarkStart w:id="22" w:name="scope-of-services-for-the-politician"/>
    <w:p>
      <w:pPr>
        <w:pStyle w:val="Heading2"/>
      </w:pPr>
      <w:r>
        <w:t xml:space="preserve">2. Scope of Services for the Politician</w:t>
      </w:r>
    </w:p>
    <w:p>
      <w:pPr>
        <w:pStyle w:val="FirstParagraph"/>
      </w:pPr>
      <w:r>
        <w:t xml:space="preserve">The following services are specifically tailored to meet the operational and strategic needs of a</w:t>
      </w:r>
      <w:r>
        <w:t xml:space="preserve"> </w:t>
      </w:r>
      <w:r>
        <w:t xml:space="preserve">Politician</w:t>
      </w:r>
      <w:r>
        <w:t xml:space="preserve"> </w:t>
      </w:r>
      <w:r>
        <w:t xml:space="preserve">representing constituents in the Addis Ababa sub-city administrative zones. Each service line item below constitutes a distinct deliverable under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(ETB)</w:t>
            </w:r>
          </w:p>
        </w:tc>
        <w:tc>
          <w:tcPr/>
          <w:p>
            <w:pPr>
              <w:pStyle w:val="Compact"/>
              <w:jc w:val="left"/>
            </w:pPr>
            <w:r>
              <w:t xml:space="preserve">Total (ETB)</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Strategic Political Advisory &amp; Policy Briefing for the Politician, including weekly briefings on federal and Addis Ababa municipal legislative developments</w:t>
            </w:r>
          </w:p>
        </w:tc>
        <w:tc>
          <w:tcPr/>
          <w:p>
            <w:pPr>
              <w:pStyle w:val="Compact"/>
              <w:jc w:val="left"/>
            </w:pPr>
            <w:r>
              <w:t xml:space="preserve">12 months (48 sessions)</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16,420</w:t>
            </w:r>
          </w:p>
        </w:tc>
      </w:tr>
      <w:tr>
        <w:tc>
          <w:tcPr/>
          <w:p>
            <w:pPr>
              <w:pStyle w:val="Compact"/>
              <w:jc w:val="left"/>
            </w:pPr>
            <w:r>
              <w:t xml:space="preserve">2</w:t>
            </w:r>
          </w:p>
        </w:tc>
        <w:tc>
          <w:tcPr/>
          <w:p>
            <w:pPr>
              <w:pStyle w:val="Compact"/>
              <w:jc w:val="left"/>
            </w:pPr>
            <w:r>
              <w:t xml:space="preserve">Public Communication &amp; Media Relations Management for the Politician, covering press conferences, social media strategy, and public address preparation in Amharic and English</w:t>
            </w:r>
          </w:p>
        </w:tc>
        <w:tc>
          <w:tcPr/>
          <w:p>
            <w:pPr>
              <w:pStyle w:val="Compact"/>
              <w:jc w:val="left"/>
            </w:pPr>
            <w:r>
              <w:t xml:space="preserve">12 months (monthly)</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9,330</w:t>
            </w:r>
          </w:p>
        </w:tc>
      </w:tr>
      <w:tr>
        <w:tc>
          <w:tcPr/>
          <w:p>
            <w:pPr>
              <w:pStyle w:val="Compact"/>
              <w:jc w:val="left"/>
            </w:pPr>
            <w:r>
              <w:t xml:space="preserve">3</w:t>
            </w:r>
          </w:p>
        </w:tc>
        <w:tc>
          <w:tcPr/>
          <w:p>
            <w:pPr>
              <w:pStyle w:val="Compact"/>
              <w:jc w:val="left"/>
            </w:pPr>
            <w:r>
              <w:t xml:space="preserve">Constituency Engagement &amp; Community Outreach Planning in Addis Ababa sub-cities (Bole, Kirkos, Yeka, Arada, Gullele, Kolfe Keranio, Lideta, Nifas Silk-Lafto)</w:t>
            </w:r>
          </w:p>
        </w:tc>
        <w:tc>
          <w:tcPr/>
          <w:p>
            <w:pPr>
              <w:pStyle w:val="Compact"/>
              <w:jc w:val="left"/>
            </w:pPr>
            <w:r>
              <w:t xml:space="preserve">12 months (quarterly)</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4,810</w:t>
            </w:r>
          </w:p>
        </w:tc>
      </w:tr>
      <w:tr>
        <w:tc>
          <w:tcPr/>
          <w:p>
            <w:pPr>
              <w:pStyle w:val="Compact"/>
              <w:jc w:val="left"/>
            </w:pPr>
            <w:r>
              <w:t xml:space="preserve">4</w:t>
            </w:r>
          </w:p>
        </w:tc>
        <w:tc>
          <w:tcPr/>
          <w:p>
            <w:pPr>
              <w:pStyle w:val="Compact"/>
              <w:jc w:val="left"/>
            </w:pPr>
            <w:r>
              <w:t xml:space="preserve">Legislative Research &amp; Drafting Support for the Politician, including bill analysis, committee preparation, and policy white papers relevant to Ethiopian federal law</w:t>
            </w:r>
          </w:p>
        </w:tc>
        <w:tc>
          <w:tcPr/>
          <w:p>
            <w:pPr>
              <w:pStyle w:val="Compact"/>
              <w:jc w:val="left"/>
            </w:pPr>
            <w:r>
              <w:t xml:space="preserve">12 months (ongoing)</w:t>
            </w:r>
          </w:p>
        </w:tc>
        <w:tc>
          <w:tcPr/>
          <w:p>
            <w:pPr>
              <w:pStyle w:val="Compact"/>
              <w:jc w:val="left"/>
            </w:pPr>
            <w:r>
              <w:t xml:space="preserve">55,000</w:t>
            </w:r>
          </w:p>
        </w:tc>
        <w:tc>
          <w:tcPr/>
          <w:p>
            <w:pPr>
              <w:pStyle w:val="Compact"/>
              <w:jc w:val="left"/>
            </w:pPr>
            <w:r>
              <w:t xml:space="preserve">660,000</w:t>
            </w:r>
          </w:p>
        </w:tc>
        <w:tc>
          <w:tcPr/>
          <w:p>
            <w:pPr>
              <w:pStyle w:val="Compact"/>
              <w:jc w:val="left"/>
            </w:pPr>
            <w:r>
              <w:t xml:space="preserve">12,220</w:t>
            </w:r>
          </w:p>
        </w:tc>
      </w:tr>
      <w:tr>
        <w:tc>
          <w:tcPr/>
          <w:p>
            <w:pPr>
              <w:pStyle w:val="Compact"/>
              <w:jc w:val="left"/>
            </w:pPr>
            <w:r>
              <w:t xml:space="preserve">5</w:t>
            </w:r>
          </w:p>
        </w:tc>
        <w:tc>
          <w:tcPr/>
          <w:p>
            <w:pPr>
              <w:pStyle w:val="Compact"/>
              <w:jc w:val="left"/>
            </w:pPr>
            <w:r>
              <w:t xml:space="preserve">Crisis Communication &amp; Reputation Management for the Politician, including 24/7 monitoring and rapid-response protocols</w:t>
            </w:r>
          </w:p>
        </w:tc>
        <w:tc>
          <w:tcPr/>
          <w:p>
            <w:pPr>
              <w:pStyle w:val="Compact"/>
              <w:jc w:val="left"/>
            </w:pPr>
            <w:r>
              <w:t xml:space="preserve">12 months (standby)</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7,770</w:t>
            </w:r>
          </w:p>
        </w:tc>
      </w:tr>
      <w:tr>
        <w:tc>
          <w:tcPr/>
          <w:p>
            <w:pPr>
              <w:pStyle w:val="Compact"/>
              <w:jc w:val="left"/>
            </w:pPr>
            <w:r>
              <w:t xml:space="preserve">6</w:t>
            </w:r>
          </w:p>
        </w:tc>
        <w:tc>
          <w:tcPr/>
          <w:p>
            <w:pPr>
              <w:pStyle w:val="Compact"/>
              <w:jc w:val="left"/>
            </w:pPr>
            <w:r>
              <w:t xml:space="preserve">Electoral Strategy &amp; Campaign Infrastructure Planning (applicable for upcoming local or federal elections in Ethiopia)</w:t>
            </w:r>
          </w:p>
        </w:tc>
        <w:tc>
          <w:tcPr/>
          <w:p>
            <w:pPr>
              <w:pStyle w:val="Compact"/>
              <w:jc w:val="left"/>
            </w:pPr>
            <w:r>
              <w:t xml:space="preserve">One-time (6-month cycle)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2,220</w:t>
            </w:r>
          </w:p>
        </w:tc>
      </w:tr>
      <w:tr>
        <w:tc>
          <w:tcPr/>
          <w:p>
            <w:pPr>
              <w:pStyle w:val="Compact"/>
              <w:jc w:val="left"/>
            </w:pPr>
            <w:r>
              <w:t xml:space="preserve">7</w:t>
            </w:r>
          </w:p>
        </w:tc>
        <w:tc>
          <w:tcPr/>
          <w:p>
            <w:pPr>
              <w:pStyle w:val="Compact"/>
              <w:jc w:val="left"/>
            </w:pPr>
            <w:r>
              <w:t xml:space="preserve">Stakeholder Mapping &amp; Inter-party Diplomatic Liaison within the Addis Ababa political ecosystem</w:t>
            </w:r>
          </w:p>
        </w:tc>
        <w:tc>
          <w:tcPr/>
          <w:p>
            <w:pPr>
              <w:pStyle w:val="Compact"/>
              <w:jc w:val="left"/>
            </w:pPr>
            <w:r>
              <w:t xml:space="preserve">12 months (bi-monthly)</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6,210</w:t>
            </w:r>
          </w:p>
        </w:tc>
      </w:tr>
      <w:tr>
        <w:tc>
          <w:tcPr/>
          <w:p>
            <w:pPr>
              <w:pStyle w:val="Compact"/>
              <w:jc w:val="left"/>
            </w:pPr>
            <w:r>
              <w:t xml:space="preserve">8</w:t>
            </w:r>
          </w:p>
        </w:tc>
        <w:tc>
          <w:tcPr/>
          <w:p>
            <w:pPr>
              <w:pStyle w:val="Compact"/>
              <w:jc w:val="left"/>
            </w:pPr>
            <w:r>
              <w:t xml:space="preserve">Administrative &amp; Office Support Coordination for the Politician's Addis Ababa constituency office</w:t>
            </w:r>
          </w:p>
        </w:tc>
        <w:tc>
          <w:tcPr/>
          <w:p>
            <w:pPr>
              <w:pStyle w:val="Compact"/>
              <w:jc w:val="left"/>
            </w:pPr>
            <w:r>
              <w:t xml:space="preserve">12 months (monthly)</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4,890</w:t>
            </w:r>
          </w:p>
        </w:tc>
      </w:tr>
      <w:tr>
        <w:tc>
          <w:tcPr>
            <w:gridSpan w:val="4"/>
          </w:tcPr>
          <w:p>
            <w:pPr>
              <w:pStyle w:val="Compact"/>
              <w:jc w:val="left"/>
            </w:pPr>
            <w:r>
              <w:t xml:space="preserve">GRAND TOTAL (All Services Combined)</w:t>
            </w:r>
          </w:p>
        </w:tc>
        <w:tc>
          <w:tcPr/>
          <w:p>
            <w:pPr>
              <w:pStyle w:val="Compact"/>
              <w:jc w:val="left"/>
            </w:pPr>
            <w:r>
              <w:t xml:space="preserve">3,352,000</w:t>
            </w:r>
          </w:p>
        </w:tc>
        <w:tc>
          <w:tcPr/>
          <w:p>
            <w:pPr>
              <w:pStyle w:val="Compact"/>
              <w:jc w:val="left"/>
            </w:pPr>
            <w:r>
              <w:t xml:space="preserve">61,870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rates are subject to revision based on prevailing economic conditions in Ethiopia, including foreign exchange rate fluctuations affecting the Ethiopian Birr.</w:t>
      </w:r>
    </w:p>
    <w:p>
      <w:pPr>
        <w:pStyle w:val="BodyText"/>
      </w:pPr>
      <w:r>
        <w:rPr>
          <w:bCs/>
          <w:b/>
        </w:rPr>
        <w:t xml:space="preserve">3.2 Payment Terms:</w:t>
      </w:r>
      <w:r>
        <w:t xml:space="preserve"> </w:t>
      </w:r>
      <w:r>
        <w:t xml:space="preserve">Payment shall be structured as follows: 30% advance upon acceptance of this Quotation Estimate, 40% upon completion of the sixth month of service delivery, and 30% upon final delivery and acceptance of all services. Payments may be made in Ethiopian Birr (ETB) via bank transfer to the consultancy's designated account at Commercial Bank of Ethiopia, Addis Ababa branch, or in US Dollars (USD) via international wire transfer.</w:t>
      </w:r>
    </w:p>
    <w:p>
      <w:pPr>
        <w:pStyle w:val="BodyText"/>
      </w:pPr>
      <w:r>
        <w:rPr>
          <w:bCs/>
          <w:b/>
        </w:rPr>
        <w:t xml:space="preserve">3.3 Confidentiality:</w:t>
      </w:r>
      <w:r>
        <w:t xml:space="preserve"> </w:t>
      </w:r>
      <w:r>
        <w:t xml:space="preserve">All information exchanged between the consultancy and the Politician shall be treated as strictly confidential. No political strategy, communication plan, or legislative research material shall be disclosed to third parties without the written consent of the Politician, in accordance with Ethiopian data protection and professional ethics regulations.</w:t>
      </w:r>
    </w:p>
    <w:p>
      <w:pPr>
        <w:pStyle w:val="BodyText"/>
      </w:pPr>
      <w:r>
        <w:rPr>
          <w:bCs/>
          <w:b/>
        </w:rPr>
        <w:t xml:space="preserve">3.4 Scope Modification:</w:t>
      </w:r>
      <w:r>
        <w:t xml:space="preserve"> </w:t>
      </w:r>
      <w:r>
        <w:t xml:space="preserve">Any changes to the scope of services outlined in this Quotation Estimate must be agreed upon in writing by both parties. Additional services beyond the original scope will be subject to a supplementary Quotation Estimate issued separately.</w:t>
      </w:r>
    </w:p>
    <w:p>
      <w:pPr>
        <w:pStyle w:val="BodyText"/>
      </w:pPr>
      <w:r>
        <w:rPr>
          <w:bCs/>
          <w:b/>
        </w:rPr>
        <w:t xml:space="preserve">3.5 Regulatory Compliance:</w:t>
      </w:r>
      <w:r>
        <w:t xml:space="preserve"> </w:t>
      </w:r>
      <w:r>
        <w:t xml:space="preserve">All services rendered under this Quotation Estimate shall comply with the Political Parties Proclamation of Ethiopia, the Federal Electoral Board of Ethiopia (FEBOE) regulations, and all applicable municipal bylaws governing political activity in Addis Ababa.</w:t>
      </w:r>
    </w:p>
    <w:p>
      <w:pPr>
        <w:pStyle w:val="BodyText"/>
      </w:pPr>
      <w:r>
        <w:rPr>
          <w:bCs/>
          <w:b/>
        </w:rPr>
        <w:t xml:space="preserve">3.6 Dispute Resolution:</w:t>
      </w:r>
      <w:r>
        <w:t xml:space="preserve"> </w:t>
      </w:r>
      <w:r>
        <w:t xml:space="preserve">Any disputes arising from this Quotation Estimate shall be resolved through mediation in Addis Ababa, Ethiopia, in accordance with the Civil Code of Ethiopia. If mediation fails, the matter shall be referred to the competent courts of Addis Ababa.</w:t>
      </w:r>
    </w:p>
    <w:p>
      <w:pPr>
        <w:pStyle w:val="BodyText"/>
      </w:pPr>
      <w:r>
        <w:rPr>
          <w:bCs/>
          <w:b/>
        </w:rPr>
        <w:t xml:space="preserve">3.7 Force Majeure:</w:t>
      </w:r>
      <w:r>
        <w:t xml:space="preserve"> </w:t>
      </w:r>
      <w:r>
        <w:t xml:space="preserve">Neither party shall be liable for failure to perform obligations due to circumstances beyond reasonable control, including but not limited to political instability, government-imposed restrictions, natural disasters, or public health emergencies affecting operations in Ethiopia.</w:t>
      </w:r>
    </w:p>
    <w:bookmarkEnd w:id="23"/>
    <w:bookmarkStart w:id="24" w:name="acceptance-and-authorization"/>
    <w:p>
      <w:pPr>
        <w:pStyle w:val="Heading2"/>
      </w:pPr>
      <w:r>
        <w:t xml:space="preserve">4. Acceptance and Authorization</w:t>
      </w:r>
    </w:p>
    <w:p>
      <w:pPr>
        <w:pStyle w:val="FirstParagraph"/>
      </w:pPr>
      <w:r>
        <w:t xml:space="preserve">By signing below, the Politician acknowledges receipt of this Quotation Estimate and agrees to the terms, conditions, and pricing outlined herein. This document serves as the formal basis for the engagement of professional political advisory services in Addis Ababa, Ethiopia.</w:t>
      </w:r>
    </w:p>
    <w:p>
      <w:pPr>
        <w:pStyle w:val="BodyText"/>
      </w:pPr>
      <w:r>
        <w:rPr>
          <w:bCs/>
          <w:b/>
        </w:rPr>
        <w:t xml:space="preserve">For and on behalf of the Politician:</w:t>
      </w:r>
    </w:p>
    <w:p>
      <w:pPr>
        <w:pStyle w:val="BodyText"/>
      </w:pPr>
      <w:r>
        <w:t xml:space="preserve">Name: ______________________________</w:t>
      </w:r>
    </w:p>
    <w:p>
      <w:pPr>
        <w:pStyle w:val="BodyText"/>
      </w:pPr>
      <w:r>
        <w:t xml:space="preserve">Title: Member of Parliament, Addis Ababa</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Consultancy:</w:t>
      </w:r>
    </w:p>
    <w:p>
      <w:pPr>
        <w:pStyle w:val="BodyText"/>
      </w:pPr>
      <w:r>
        <w:t xml:space="preserve">Name: ______________________________</w:t>
      </w:r>
    </w:p>
    <w:p>
      <w:pPr>
        <w:pStyle w:val="BodyText"/>
      </w:pPr>
      <w:r>
        <w:t xml:space="preserve">Title: Director, Horn of Africa Political Consultancy Group</w:t>
      </w:r>
    </w:p>
    <w:p>
      <w:pPr>
        <w:pStyle w:val="BodyText"/>
      </w:pPr>
      <w:r>
        <w:t xml:space="preserve">Signature: ______________________________</w:t>
      </w:r>
    </w:p>
    <w:p>
      <w:pPr>
        <w:pStyle w:val="BodyText"/>
      </w:pPr>
      <w:r>
        <w:t xml:space="preserve">Date: ______________________________</w:t>
      </w:r>
    </w:p>
    <w:p>
      <w:pPr>
        <w:pStyle w:val="BodyText"/>
      </w:pPr>
      <w:r>
        <w:t xml:space="preserve">Horn of Africa Political Consultancy Group | Bole Road, Addis Ababa, Ethiopia | Tel: +251-11-XXXXXXX | Email: info@hoapcg.et</w:t>
      </w:r>
    </w:p>
    <w:p>
      <w:pPr>
        <w:pStyle w:val="BodyText"/>
      </w:pPr>
      <w:r>
        <w:t xml:space="preserve">This Quotation Estimate is a confidential document intended solely for the named Politician. Unauthorized reproduction or distribution is prohibited under Ethiopian law.</w:t>
      </w:r>
    </w:p>
    <w:p>
      <w:pPr>
        <w:pStyle w:val="BodyText"/>
      </w:pPr>
      <w:r>
        <w:t xml:space="preserve">Document Reference: QTE-ETH-2025-04782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Ethiopia Addis Ababa</dc:title>
  <dc:creator/>
  <dc:language>en</dc:language>
  <cp:keywords/>
  <dcterms:created xsi:type="dcterms:W3CDTF">2026-10-10T04:21:48Z</dcterms:created>
  <dcterms:modified xsi:type="dcterms:W3CDTF">2026-10-10T04:21:48Z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