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rPr>
          <w:bCs/>
          <w:b/>
        </w:rPr>
        <w:t xml:space="preserve">Berlin Political Advisory Group GmbH</w:t>
      </w:r>
      <w:r>
        <w:br/>
      </w:r>
      <w:r>
        <w:t xml:space="preserve">Friedrichstraße 183</w:t>
      </w:r>
      <w:r>
        <w:br/>
      </w:r>
      <w:r>
        <w:t xml:space="preserve">10117 Berlin, Germany</w:t>
      </w:r>
      <w:r>
        <w:br/>
      </w:r>
      <w:r>
        <w:t xml:space="preserve">Phone: +49 30 5555 0142</w:t>
      </w:r>
      <w:r>
        <w:br/>
      </w:r>
      <w:r>
        <w:t xml:space="preserve">Email: estimates@bpa-group.de</w:t>
      </w:r>
      <w:r>
        <w:br/>
      </w:r>
      <w:r>
        <w:t xml:space="preserve">USt-IdNr.: DE 312 456 789</w:t>
      </w:r>
    </w:p>
    <w:p>
      <w:pPr>
        <w:pStyle w:val="BodyText"/>
      </w:pPr>
      <w:r>
        <w:t xml:space="preserve">Official Quotation Estimate – Germany Berlin</w:t>
      </w:r>
    </w:p>
    <w:bookmarkEnd w:id="20"/>
    <w:p>
      <w:pPr>
        <w:pStyle w:val="BodyText"/>
      </w:pPr>
      <w:r>
        <w:rPr>
          <w:bCs/>
          <w:b/>
        </w:rPr>
        <w:t xml:space="preserve">Quotation Estimate No.:</w:t>
      </w:r>
      <w:r>
        <w:t xml:space="preserve"> </w:t>
      </w:r>
      <w:r>
        <w:t xml:space="preserve">QTE-2025-BER-0472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Prepared For:</w:t>
      </w:r>
      <w:r>
        <w:t xml:space="preserve"> </w:t>
      </w:r>
      <w:r>
        <w:t xml:space="preserve">Dr. Heinrich Vogel</w:t>
      </w:r>
      <w:r>
        <w:br/>
      </w:r>
      <w:r>
        <w:rPr>
          <w:bCs/>
          <w:b/>
        </w:rPr>
        <w:t xml:space="preserve">Position:</w:t>
      </w:r>
      <w:r>
        <w:t xml:space="preserve"> </w:t>
      </w:r>
      <w:r>
        <w:t xml:space="preserve">Politician, Member of the Berlin House of Representatives (Abgeordnetenhaus)</w:t>
      </w:r>
      <w:r>
        <w:br/>
      </w:r>
      <w:r>
        <w:rPr>
          <w:bCs/>
          <w:b/>
        </w:rPr>
        <w:t xml:space="preserve">Office:</w:t>
      </w:r>
      <w:r>
        <w:t xml:space="preserve"> </w:t>
      </w:r>
      <w:r>
        <w:t xml:space="preserve">Paul-Löbe-Haus, Platz der Republik 1, 11011 Berlin, Germany</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Berlin Political Advisory Group GmbH in response to the formal request submitted by Dr. Heinrich Vogel, a Politician serving in the legislative body of Germany Berlin, for comprehensive political advisory, strategic communication, and legislative research services. The Politician has requested a detailed cost breakdown for a twelve-month engagement period covering the 2025–2026 legislative session. All figures presented in this Quotation Estimate are exclusive of the applicable German value-added tax (Mehrwertsteuer, 19%) unless otherwise stated, in accordance with the regulations governing commercial transactions in Germany Berlin.</w:t>
      </w:r>
    </w:p>
    <w:bookmarkEnd w:id="21"/>
    <w:bookmarkStart w:id="22" w:name="client-and-politician-profile"/>
    <w:p>
      <w:pPr>
        <w:pStyle w:val="Heading2"/>
      </w:pPr>
      <w:r>
        <w:t xml:space="preserve">2. Client and Politician Profile</w:t>
      </w:r>
    </w:p>
    <w:p>
      <w:pPr>
        <w:pStyle w:val="FirstParagraph"/>
      </w:pPr>
      <w:r>
        <w:t xml:space="preserve">The client for this Quotation Estimate is Dr. Heinrich Vogel, a Politician representing the constituency of Berlin-Mitte in the Abgeordnetenhaus. The Politician's portfolio includes urban development, digital infrastructure, and inter-municipal cooperation within the federal state of Berlin. The services outlined in this Quotation Estimate are tailored specifically to the legislative, public-facing, and administrative responsibilities of a Politician operating within the political framework of Germany Berlin, including compliance with the Berlin Transparency Act (Transparenzgesetz Berlin) and the German Federal Election Campaign Act (Bundeswahlkampfgesetz) where applicable.</w:t>
      </w:r>
    </w:p>
    <w:bookmarkEnd w:id="22"/>
    <w:bookmarkStart w:id="23" w:name="itemized-services-and-cost-breakdown"/>
    <w:p>
      <w:pPr>
        <w:pStyle w:val="Heading2"/>
      </w:pPr>
      <w:r>
        <w:t xml:space="preserve">3.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3.1</w:t>
            </w:r>
          </w:p>
        </w:tc>
        <w:tc>
          <w:tcPr/>
          <w:p>
            <w:pPr>
              <w:pStyle w:val="Compact"/>
              <w:jc w:val="left"/>
            </w:pPr>
            <w:r>
              <w:t xml:space="preserve">Strategic Political Advisory – Ongoing counsel to the Politician on legislative strategy, coalition negotiations, and policy positioning within the Berlin state parliament.</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12</w:t>
            </w:r>
          </w:p>
        </w:tc>
        <w:tc>
          <w:tcPr/>
          <w:p>
            <w:pPr>
              <w:pStyle w:val="Compact"/>
              <w:jc w:val="left"/>
            </w:pPr>
            <w:r>
              <w:t xml:space="preserve">50,400.00</w:t>
            </w:r>
          </w:p>
        </w:tc>
      </w:tr>
      <w:tr>
        <w:tc>
          <w:tcPr/>
          <w:p>
            <w:pPr>
              <w:pStyle w:val="Compact"/>
              <w:jc w:val="left"/>
            </w:pPr>
            <w:r>
              <w:t xml:space="preserve">3.2</w:t>
            </w:r>
          </w:p>
        </w:tc>
        <w:tc>
          <w:tcPr/>
          <w:p>
            <w:pPr>
              <w:pStyle w:val="Compact"/>
              <w:jc w:val="left"/>
            </w:pPr>
            <w:r>
              <w:t xml:space="preserve">Legislative Research &amp; Policy Analysis – Preparation of detailed briefing dossiers, impact assessments, and comparative legal analyses for bills introduced by the Politician in Germany Berlin.</w:t>
            </w:r>
          </w:p>
        </w:tc>
        <w:tc>
          <w:tcPr/>
          <w:p>
            <w:pPr>
              <w:pStyle w:val="Compact"/>
              <w:jc w:val="left"/>
            </w:pPr>
            <w:r>
              <w:t xml:space="preserve">Per dossier (est. 24)</w:t>
            </w:r>
          </w:p>
        </w:tc>
        <w:tc>
          <w:tcPr/>
          <w:p>
            <w:pPr>
              <w:pStyle w:val="Compact"/>
              <w:jc w:val="left"/>
            </w:pPr>
            <w:r>
              <w:t xml:space="preserve">1,850.00</w:t>
            </w:r>
          </w:p>
        </w:tc>
        <w:tc>
          <w:tcPr/>
          <w:p>
            <w:pPr>
              <w:pStyle w:val="Compact"/>
              <w:jc w:val="left"/>
            </w:pPr>
            <w:r>
              <w:t xml:space="preserve">24</w:t>
            </w:r>
          </w:p>
        </w:tc>
        <w:tc>
          <w:tcPr/>
          <w:p>
            <w:pPr>
              <w:pStyle w:val="Compact"/>
              <w:jc w:val="left"/>
            </w:pPr>
            <w:r>
              <w:t xml:space="preserve">44,400.00</w:t>
            </w:r>
          </w:p>
        </w:tc>
      </w:tr>
      <w:tr>
        <w:tc>
          <w:tcPr/>
          <w:p>
            <w:pPr>
              <w:pStyle w:val="Compact"/>
              <w:jc w:val="left"/>
            </w:pPr>
            <w:r>
              <w:t xml:space="preserve">3.3</w:t>
            </w:r>
          </w:p>
        </w:tc>
        <w:tc>
          <w:tcPr/>
          <w:p>
            <w:pPr>
              <w:pStyle w:val="Compact"/>
              <w:jc w:val="left"/>
            </w:pPr>
            <w:r>
              <w:t xml:space="preserve">Public Communication &amp; Media Strategy – Development of press statements, speechwriting, social media content calendars, and media training sessions for the Politician.</w:t>
            </w:r>
          </w:p>
        </w:tc>
        <w:tc>
          <w:tcPr/>
          <w:p>
            <w:pPr>
              <w:pStyle w:val="Compact"/>
              <w:jc w:val="left"/>
            </w:pPr>
            <w:r>
              <w:t xml:space="preserve">12 months</w:t>
            </w:r>
          </w:p>
        </w:tc>
        <w:tc>
          <w:tcPr/>
          <w:p>
            <w:pPr>
              <w:pStyle w:val="Compact"/>
              <w:jc w:val="left"/>
            </w:pPr>
            <w:r>
              <w:t xml:space="preserve">2,600.00</w:t>
            </w:r>
          </w:p>
        </w:tc>
        <w:tc>
          <w:tcPr/>
          <w:p>
            <w:pPr>
              <w:pStyle w:val="Compact"/>
              <w:jc w:val="left"/>
            </w:pPr>
            <w:r>
              <w:t xml:space="preserve">12</w:t>
            </w:r>
          </w:p>
        </w:tc>
        <w:tc>
          <w:tcPr/>
          <w:p>
            <w:pPr>
              <w:pStyle w:val="Compact"/>
              <w:jc w:val="left"/>
            </w:pPr>
            <w:r>
              <w:t xml:space="preserve">31,200.00</w:t>
            </w:r>
          </w:p>
        </w:tc>
      </w:tr>
      <w:tr>
        <w:tc>
          <w:tcPr/>
          <w:p>
            <w:pPr>
              <w:pStyle w:val="Compact"/>
              <w:jc w:val="left"/>
            </w:pPr>
            <w:r>
              <w:t xml:space="preserve">3.4</w:t>
            </w:r>
          </w:p>
        </w:tc>
        <w:tc>
          <w:tcPr/>
          <w:p>
            <w:pPr>
              <w:pStyle w:val="Compact"/>
              <w:jc w:val="left"/>
            </w:pPr>
            <w:r>
              <w:t xml:space="preserve">Constituency Engagement Planning – Coordination of citizen forums, local stakeholder meetings, and public town halls across the Berlin-Mitte district.</w:t>
            </w:r>
          </w:p>
        </w:tc>
        <w:tc>
          <w:tcPr/>
          <w:p>
            <w:pPr>
              <w:pStyle w:val="Compact"/>
              <w:jc w:val="left"/>
            </w:pPr>
            <w:r>
              <w:t xml:space="preserve">Per event (est. 16)</w:t>
            </w:r>
          </w:p>
        </w:tc>
        <w:tc>
          <w:tcPr/>
          <w:p>
            <w:pPr>
              <w:pStyle w:val="Compact"/>
              <w:jc w:val="left"/>
            </w:pPr>
            <w:r>
              <w:t xml:space="preserve">950.00</w:t>
            </w:r>
          </w:p>
        </w:tc>
        <w:tc>
          <w:tcPr/>
          <w:p>
            <w:pPr>
              <w:pStyle w:val="Compact"/>
              <w:jc w:val="left"/>
            </w:pPr>
            <w:r>
              <w:t xml:space="preserve">16</w:t>
            </w:r>
          </w:p>
        </w:tc>
        <w:tc>
          <w:tcPr/>
          <w:p>
            <w:pPr>
              <w:pStyle w:val="Compact"/>
              <w:jc w:val="left"/>
            </w:pPr>
            <w:r>
              <w:t xml:space="preserve">15,200.00</w:t>
            </w:r>
          </w:p>
        </w:tc>
      </w:tr>
      <w:tr>
        <w:tc>
          <w:tcPr/>
          <w:p>
            <w:pPr>
              <w:pStyle w:val="Compact"/>
              <w:jc w:val="left"/>
            </w:pPr>
            <w:r>
              <w:t xml:space="preserve">3.5</w:t>
            </w:r>
          </w:p>
        </w:tc>
        <w:tc>
          <w:tcPr/>
          <w:p>
            <w:pPr>
              <w:pStyle w:val="Compact"/>
              <w:jc w:val="left"/>
            </w:pPr>
            <w:r>
              <w:t xml:space="preserve">Inter-Parliamentary Liaison – Facilitation of contacts with federal (Bundestag) and European (EP) counterparts relevant to the Politician's portfolio areas.</w:t>
            </w:r>
          </w:p>
        </w:tc>
        <w:tc>
          <w:tcPr/>
          <w:p>
            <w:pPr>
              <w:pStyle w:val="Compact"/>
              <w:jc w:val="left"/>
            </w:pPr>
            <w:r>
              <w:t xml:space="preserve">12 months</w:t>
            </w:r>
          </w:p>
        </w:tc>
        <w:tc>
          <w:tcPr/>
          <w:p>
            <w:pPr>
              <w:pStyle w:val="Compact"/>
              <w:jc w:val="left"/>
            </w:pPr>
            <w:r>
              <w:t xml:space="preserve">1,400.00</w:t>
            </w:r>
          </w:p>
        </w:tc>
        <w:tc>
          <w:tcPr/>
          <w:p>
            <w:pPr>
              <w:pStyle w:val="Compact"/>
              <w:jc w:val="left"/>
            </w:pPr>
            <w:r>
              <w:t xml:space="preserve">12</w:t>
            </w:r>
          </w:p>
        </w:tc>
        <w:tc>
          <w:tcPr/>
          <w:p>
            <w:pPr>
              <w:pStyle w:val="Compact"/>
              <w:jc w:val="left"/>
            </w:pPr>
            <w:r>
              <w:t xml:space="preserve">16,800.00</w:t>
            </w:r>
          </w:p>
        </w:tc>
      </w:tr>
      <w:tr>
        <w:tc>
          <w:tcPr/>
          <w:p>
            <w:pPr>
              <w:pStyle w:val="Compact"/>
              <w:jc w:val="left"/>
            </w:pPr>
            <w:r>
              <w:t xml:space="preserve">3.6</w:t>
            </w:r>
          </w:p>
        </w:tc>
        <w:tc>
          <w:tcPr/>
          <w:p>
            <w:pPr>
              <w:pStyle w:val="Compact"/>
              <w:jc w:val="left"/>
            </w:pPr>
            <w:r>
              <w:t xml:space="preserve">Compliance &amp; Transparency Reporting – Preparation of quarterly asset declarations, conflict-of-interest disclosures, and adherence reports required under German and Berlin political ethics regulations.</w:t>
            </w:r>
          </w:p>
        </w:tc>
        <w:tc>
          <w:tcPr/>
          <w:p>
            <w:pPr>
              <w:pStyle w:val="Compact"/>
              <w:jc w:val="left"/>
            </w:pPr>
            <w:r>
              <w:t xml:space="preserve">Per quarter (4)</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3.7</w:t>
            </w:r>
          </w:p>
        </w:tc>
        <w:tc>
          <w:tcPr/>
          <w:p>
            <w:pPr>
              <w:pStyle w:val="Compact"/>
              <w:jc w:val="left"/>
            </w:pPr>
            <w:r>
              <w:t xml:space="preserve">Emergency Response &amp; Crisis Communication – On-call availability for unplanned media events, parliamentary crises, or public relations incidents affecting the Politician.</w:t>
            </w:r>
          </w:p>
        </w:tc>
        <w:tc>
          <w:tcPr/>
          <w:p>
            <w:pPr>
              <w:pStyle w:val="Compact"/>
              <w:jc w:val="left"/>
            </w:pPr>
            <w:r>
              <w:t xml:space="preserve">12 months (standby)</w:t>
            </w:r>
          </w:p>
        </w:tc>
        <w:tc>
          <w:tcPr/>
          <w:p>
            <w:pPr>
              <w:pStyle w:val="Compact"/>
              <w:jc w:val="left"/>
            </w:pPr>
            <w:r>
              <w:t xml:space="preserve">750.00</w:t>
            </w:r>
          </w:p>
        </w:tc>
        <w:tc>
          <w:tcPr/>
          <w:p>
            <w:pPr>
              <w:pStyle w:val="Compact"/>
              <w:jc w:val="left"/>
            </w:pPr>
            <w:r>
              <w:t xml:space="preserve">12</w:t>
            </w:r>
          </w:p>
        </w:tc>
        <w:tc>
          <w:tcPr/>
          <w:p>
            <w:pPr>
              <w:pStyle w:val="Compact"/>
              <w:jc w:val="left"/>
            </w:pPr>
            <w:r>
              <w:t xml:space="preserve">9,000.00</w:t>
            </w:r>
          </w:p>
        </w:tc>
      </w:tr>
    </w:tbl>
    <w:bookmarkEnd w:id="23"/>
    <w:bookmarkStart w:id="24" w:name="cost-summary"/>
    <w:p>
      <w:pPr>
        <w:pStyle w:val="Heading2"/>
      </w:pPr>
      <w:r>
        <w:t xml:space="preserve">4.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 All Services (Items 3.1 to 3.7)</w:t>
            </w:r>
          </w:p>
        </w:tc>
        <w:tc>
          <w:tcPr/>
          <w:p>
            <w:pPr>
              <w:pStyle w:val="Compact"/>
              <w:jc w:val="left"/>
            </w:pPr>
            <w:r>
              <w:t xml:space="preserve">171,800.00</w:t>
            </w:r>
          </w:p>
        </w:tc>
      </w:tr>
      <w:tr>
        <w:tc>
          <w:tcPr/>
          <w:p>
            <w:pPr>
              <w:pStyle w:val="Compact"/>
              <w:jc w:val="left"/>
            </w:pPr>
            <w:r>
              <w:t xml:space="preserve">Value-Added Tax (Mehrwertsteuer) at 19%</w:t>
            </w:r>
          </w:p>
        </w:tc>
        <w:tc>
          <w:tcPr/>
          <w:p>
            <w:pPr>
              <w:pStyle w:val="Compact"/>
              <w:jc w:val="left"/>
            </w:pPr>
            <w:r>
              <w:t xml:space="preserve">32,642.00</w:t>
            </w:r>
          </w:p>
        </w:tc>
      </w:tr>
      <w:tr>
        <w:tc>
          <w:tcPr/>
          <w:p>
            <w:pPr>
              <w:pStyle w:val="Compact"/>
              <w:jc w:val="left"/>
            </w:pPr>
            <w:r>
              <w:t xml:space="preserve">Total Quotation Estimate (incl. VAT)</w:t>
            </w:r>
          </w:p>
        </w:tc>
        <w:tc>
          <w:tcPr/>
          <w:p>
            <w:pPr>
              <w:pStyle w:val="Compact"/>
              <w:jc w:val="left"/>
            </w:pPr>
            <w:r>
              <w:t xml:space="preserve">204,442.00</w:t>
            </w:r>
          </w:p>
        </w:tc>
      </w:tr>
    </w:tbl>
    <w:bookmarkEnd w:id="24"/>
    <w:bookmarkStart w:id="25" w:name="payment-terms-and-conditions"/>
    <w:p>
      <w:pPr>
        <w:pStyle w:val="Heading2"/>
      </w:pPr>
      <w:r>
        <w:t xml:space="preserve">5. Payment Terms and Conditions</w:t>
      </w:r>
    </w:p>
    <w:p>
      <w:pPr>
        <w:pStyle w:val="FirstParagraph"/>
      </w:pPr>
      <w:r>
        <w:rPr>
          <w:bCs/>
          <w:b/>
        </w:rPr>
        <w:t xml:space="preserve">5.1</w:t>
      </w:r>
      <w:r>
        <w:t xml:space="preserve"> </w:t>
      </w:r>
      <w:r>
        <w:t xml:space="preserve">– Payment shall be rendered in monthly instalments of EUR 17,036.83 (including VAT), due on the 5th business day of each month, via SEPA direct debit to the account of Berlin Political Advisory Group GmbH, IBAN: DE89 3704 0044 0532 0130 00, BIC: COBADEFFXXX.</w:t>
      </w:r>
      <w:r>
        <w:br/>
      </w:r>
      <w:r>
        <w:br/>
      </w:r>
      <w:r>
        <w:rPr>
          <w:bCs/>
          <w:b/>
        </w:rPr>
        <w:t xml:space="preserve">5.2</w:t>
      </w:r>
      <w:r>
        <w:t xml:space="preserve"> </w:t>
      </w:r>
      <w:r>
        <w:t xml:space="preserve">– This Quotation Estimate is valid for a period of ninety (90) calendar days from the date of issue. Should the Politician wish to proceed beyond this validity window, a revised Quotation Estimate reflecting any updated rates or scope changes will be issued at no additional cost.</w:t>
      </w:r>
      <w:r>
        <w:br/>
      </w:r>
      <w:r>
        <w:br/>
      </w:r>
      <w:r>
        <w:rPr>
          <w:bCs/>
          <w:b/>
        </w:rPr>
        <w:t xml:space="preserve">5.3</w:t>
      </w:r>
      <w:r>
        <w:t xml:space="preserve"> </w:t>
      </w:r>
      <w:r>
        <w:t xml:space="preserve">– All services are governed by the laws of the Federal Republic of Germany. Any disputes arising from this Quotation Estimate shall be subject to the exclusive jurisdiction of the competent courts in Berlin, Germany.</w:t>
      </w:r>
      <w:r>
        <w:br/>
      </w:r>
      <w:r>
        <w:br/>
      </w:r>
      <w:r>
        <w:rPr>
          <w:bCs/>
          <w:b/>
        </w:rPr>
        <w:t xml:space="preserve">5.4</w:t>
      </w:r>
      <w:r>
        <w:t xml:space="preserve"> </w:t>
      </w:r>
      <w:r>
        <w:t xml:space="preserve">– The Politician agrees that all deliverables, research materials, and strategic documents produced under this engagement remain the intellectual property of the Politician's parliamentary office upon full payment, subject to a non-exclusive licence retained by the advisory firm for internal portfolio reference.</w:t>
      </w:r>
      <w:r>
        <w:br/>
      </w:r>
      <w:r>
        <w:br/>
      </w:r>
      <w:r>
        <w:rPr>
          <w:bCs/>
          <w:b/>
        </w:rPr>
        <w:t xml:space="preserve">5.5</w:t>
      </w:r>
      <w:r>
        <w:t xml:space="preserve"> </w:t>
      </w:r>
      <w:r>
        <w:t xml:space="preserve">– Cancellation may be effected by either party with a written notice period of thirty (30) days. In the event of early termination, all services rendered up to the termination date shall be invoiced in full.</w:t>
      </w:r>
      <w:r>
        <w:br/>
      </w:r>
      <w:r>
        <w:br/>
      </w:r>
      <w:r>
        <w:rPr>
          <w:bCs/>
          <w:b/>
        </w:rPr>
        <w:t xml:space="preserve">5.6</w:t>
      </w:r>
      <w:r>
        <w:t xml:space="preserve"> </w:t>
      </w:r>
      <w:r>
        <w:t xml:space="preserve">– This Quotation Estimate does not constitute a binding contract until countersigned by both parties. The Politician's acceptance shall be confirmed in writing via the official parliamentary office channel.</w:t>
      </w:r>
    </w:p>
    <w:bookmarkEnd w:id="25"/>
    <w:bookmarkStart w:id="26" w:name="additional-notes-for-the-politician"/>
    <w:p>
      <w:pPr>
        <w:pStyle w:val="Heading2"/>
      </w:pPr>
      <w:r>
        <w:t xml:space="preserve">6. Additional Notes for the Politician</w:t>
      </w:r>
    </w:p>
    <w:p>
      <w:pPr>
        <w:pStyle w:val="FirstParagraph"/>
      </w:pPr>
      <w:r>
        <w:t xml:space="preserve">The services described in this Quotation Estimate are designed to support the Politician in fulfilling legislative duties, maintaining transparent public communication, and strengthening constituent engagement within the specific political and administrative context of Germany Berlin. All advisory work will be conducted in strict compliance with the Code of Conduct for Members of the Berlin House of Representatives and the applicable provisions of the German Basic Law (Grundgesetz). The advisory team assigned to this Politician will undergo a security clearance review as required for access to classified parliamentary materials.</w:t>
      </w:r>
    </w:p>
    <w:bookmarkEnd w:id="26"/>
    <w:bookmarkStart w:id="27" w:name="acceptance-and-signatures"/>
    <w:p>
      <w:pPr>
        <w:pStyle w:val="Heading2"/>
      </w:pPr>
      <w:r>
        <w:t xml:space="preserve">7. Acceptance and Signatures</w:t>
      </w:r>
    </w:p>
    <w:p>
      <w:pPr>
        <w:pStyle w:val="FirstParagraph"/>
      </w:pPr>
      <w:r>
        <w:rPr>
          <w:bCs/>
          <w:b/>
        </w:rPr>
        <w:t xml:space="preserve">For Berlin Political Advisory Group GmbH:</w:t>
      </w:r>
    </w:p>
    <w:p>
      <w:pPr>
        <w:pStyle w:val="BodyText"/>
      </w:pPr>
      <w:r>
        <w:t xml:space="preserve">Dr. Katharina Brandt</w:t>
      </w:r>
      <w:r>
        <w:br/>
      </w:r>
      <w:r>
        <w:t xml:space="preserve">Managing Director</w:t>
      </w:r>
      <w:r>
        <w:br/>
      </w:r>
      <w:r>
        <w:t xml:space="preserve">Date: _______________</w:t>
      </w:r>
    </w:p>
    <w:p>
      <w:pPr>
        <w:pStyle w:val="BodyText"/>
      </w:pPr>
      <w:r>
        <w:rPr>
          <w:bCs/>
          <w:b/>
        </w:rPr>
        <w:t xml:space="preserve">For the Politician (Client):</w:t>
      </w:r>
    </w:p>
    <w:p>
      <w:pPr>
        <w:pStyle w:val="BodyText"/>
      </w:pPr>
      <w:r>
        <w:t xml:space="preserve">Dr. Heinrich Vogel</w:t>
      </w:r>
      <w:r>
        <w:br/>
      </w:r>
      <w:r>
        <w:t xml:space="preserve">Member of the Abgeordnetenhaus</w:t>
      </w:r>
      <w:r>
        <w:br/>
      </w:r>
      <w:r>
        <w:t xml:space="preserve">Date: _______________</w:t>
      </w:r>
    </w:p>
    <w:p>
      <w:pPr>
        <w:pStyle w:val="BodyText"/>
      </w:pPr>
      <w:r>
        <w:t xml:space="preserve">This Quotation Estimate (QTE-2025-BER-0472) was prepared exclusively for the named Politician in Germany Berlin. Unauthorised reproduction or distribution of this document is prohibited. © 2025 Berlin Political Advisory Group GmbH.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Germany Berlin</dc:title>
  <dc:creator/>
  <dc:language>en</dc:language>
  <cp:keywords/>
  <dcterms:created xsi:type="dcterms:W3CDTF">2026-10-10T09:09:57Z</dcterms:created>
  <dcterms:modified xsi:type="dcterms:W3CDTF">2026-10-10T09:09:57Z</dcterms:modified>
</cp:coreProperties>
</file>

<file path=docProps/custom.xml><?xml version="1.0" encoding="utf-8"?>
<Properties xmlns="http://schemas.openxmlformats.org/officeDocument/2006/custom-properties" xmlns:vt="http://schemas.openxmlformats.org/officeDocument/2006/docPropsVTypes"/>
</file>