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Political</w:t>
      </w:r>
      <w:r>
        <w:t xml:space="preserve"> </w:t>
      </w:r>
      <w:r>
        <w:t xml:space="preserve">Consulting</w:t>
      </w:r>
      <w:r>
        <w:t xml:space="preserve"> </w:t>
      </w:r>
      <w:r>
        <w:t xml:space="preserve">Services</w:t>
      </w:r>
      <w:r>
        <w:t xml:space="preserve"> </w:t>
      </w:r>
      <w:r>
        <w:t xml:space="preserve">-</w:t>
      </w:r>
      <w:r>
        <w:t xml:space="preserve"> </w:t>
      </w:r>
      <w:r>
        <w:t xml:space="preserve">Frankfurt,</w:t>
      </w:r>
      <w:r>
        <w:t xml:space="preserve"> </w:t>
      </w:r>
      <w:r>
        <w:t xml:space="preserve">Germany</w:t>
      </w:r>
    </w:p>
    <w:bookmarkStart w:id="20" w:name="quotation-estimate"/>
    <w:p>
      <w:pPr>
        <w:pStyle w:val="Heading1"/>
      </w:pPr>
      <w:r>
        <w:t xml:space="preserve">QUOTATION ESTIMATE</w:t>
      </w:r>
    </w:p>
    <w:p>
      <w:pPr>
        <w:pStyle w:val="FirstParagraph"/>
      </w:pPr>
      <w:r>
        <w:t xml:space="preserve">Political Consulting &amp; Strategic Advisory Services</w:t>
      </w:r>
    </w:p>
    <w:p>
      <w:pPr>
        <w:pStyle w:val="BodyText"/>
      </w:pPr>
      <w:r>
        <w:t xml:space="preserve">Reference No: QE-FRA-2025-0472 | Document Classification: Confidential</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Quotation Validity</w:t>
            </w:r>
          </w:p>
        </w:tc>
        <w:tc>
          <w:tcPr/>
          <w:p>
            <w:pPr>
              <w:pStyle w:val="Compact"/>
              <w:jc w:val="left"/>
            </w:pPr>
            <w:r>
              <w:t xml:space="preserve">30 days from date of issue (expires 14 July 2025)</w:t>
            </w:r>
          </w:p>
        </w:tc>
      </w:tr>
      <w:tr>
        <w:tc>
          <w:tcPr/>
          <w:p>
            <w:pPr>
              <w:pStyle w:val="Compact"/>
              <w:jc w:val="left"/>
            </w:pPr>
            <w:r>
              <w:t xml:space="preserve">Prepared By</w:t>
            </w:r>
          </w:p>
        </w:tc>
        <w:tc>
          <w:tcPr/>
          <w:p>
            <w:pPr>
              <w:pStyle w:val="Compact"/>
              <w:jc w:val="left"/>
            </w:pPr>
            <w:r>
              <w:t xml:space="preserve">Dr. Heinrich Vogel, Managing Director – RheinMain Political Advisory GmbH, Mainzer Landstraße 185, 60329 Frankfurt am Main, Germany</w:t>
            </w:r>
          </w:p>
        </w:tc>
      </w:tr>
      <w:tr>
        <w:tc>
          <w:tcPr/>
          <w:p>
            <w:pPr>
              <w:pStyle w:val="Compact"/>
              <w:jc w:val="left"/>
            </w:pPr>
            <w:r>
              <w:t xml:space="preserve">Prepared For</w:t>
            </w:r>
          </w:p>
        </w:tc>
        <w:tc>
          <w:tcPr/>
          <w:p>
            <w:pPr>
              <w:pStyle w:val="Compact"/>
              <w:jc w:val="left"/>
            </w:pPr>
            <w:r>
              <w:t xml:space="preserve">Prof. Dr. Katharina Steinbach, Member of the Hessian State Parliament (Landtag), Office of the Politician, Bockenheimer Landstraße 42, 60323 Frankfurt am Main, Germany</w:t>
            </w:r>
          </w:p>
        </w:tc>
      </w:tr>
      <w:tr>
        <w:tc>
          <w:tcPr/>
          <w:p>
            <w:pPr>
              <w:pStyle w:val="Compact"/>
              <w:jc w:val="left"/>
            </w:pPr>
            <w:r>
              <w:t xml:space="preserve">Project Title</w:t>
            </w:r>
          </w:p>
        </w:tc>
        <w:tc>
          <w:tcPr/>
          <w:p>
            <w:pPr>
              <w:pStyle w:val="Compact"/>
              <w:jc w:val="left"/>
            </w:pPr>
            <w:r>
              <w:t xml:space="preserve">Comprehensive Electoral Strategy &amp; Public Engagement Programme for the Politician – Frankfurt am Main Constituency, 2026 Hessian State Elections</w:t>
            </w:r>
          </w:p>
        </w:tc>
      </w:tr>
      <w:tr>
        <w:tc>
          <w:tcPr/>
          <w:p>
            <w:pPr>
              <w:pStyle w:val="Compact"/>
              <w:jc w:val="left"/>
            </w:pPr>
            <w:r>
              <w:t xml:space="preserve">Currency</w:t>
            </w:r>
          </w:p>
        </w:tc>
        <w:tc>
          <w:tcPr/>
          <w:p>
            <w:pPr>
              <w:pStyle w:val="Compact"/>
              <w:jc w:val="left"/>
            </w:pPr>
            <w:r>
              <w:t xml:space="preserve">Euro (EUR) – all figures inclusive of 19% German Value Added Tax (Mehrwertsteuer / VAT)</w:t>
            </w:r>
          </w:p>
        </w:tc>
      </w:tr>
    </w:tbl>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formally submitted to the office of</w:t>
      </w:r>
      <w:r>
        <w:t xml:space="preserve"> </w:t>
      </w:r>
      <w:r>
        <w:t xml:space="preserve">Prof. Dr. Katharina Steinbach</w:t>
      </w:r>
      <w:r>
        <w:t xml:space="preserve">, a distinguished</w:t>
      </w:r>
      <w:r>
        <w:t xml:space="preserve"> </w:t>
      </w:r>
      <w:r>
        <w:t xml:space="preserve">Politician</w:t>
      </w:r>
      <w:r>
        <w:t xml:space="preserve"> </w:t>
      </w:r>
      <w:r>
        <w:t xml:space="preserve">representing the Frankfurt am Main constituency in the Hessian State Parliament. The purpose of this document is to outline the full scope of political consulting, strategic advisory, and public relations services that RheinMain Political Advisory GmbH proposes to deliver in support of the Politician's upcoming electoral campaign and ongoing legislative representation duties within</w:t>
      </w:r>
      <w:r>
        <w:t xml:space="preserve"> </w:t>
      </w:r>
      <w:r>
        <w:t xml:space="preserve">Germany Frankfurt</w:t>
      </w:r>
      <w:r>
        <w:t xml:space="preserve"> </w:t>
      </w:r>
      <w:r>
        <w:t xml:space="preserve">and the broader Frankfurt Rhein-Main metropolitan region.</w:t>
      </w:r>
    </w:p>
    <w:p>
      <w:pPr>
        <w:pStyle w:val="BodyText"/>
      </w:pPr>
      <w:r>
        <w:t xml:space="preserve">The services described herein have been tailored specifically to the unique political landscape of Frankfurt am Main, Germany's financial capital and one of the most politically diverse urban centres in the Federal Republic. The Politician's mandate encompasses a constituency that includes the city of Frankfurt, the surrounding Offenbach district, and portions of the Main-Taunus and Hochtaunus districts, presenting both significant opportunities and considerable strategic challenges for the 2026 electoral cycle.</w:t>
      </w:r>
    </w:p>
    <w:bookmarkEnd w:id="21"/>
    <w:bookmarkStart w:id="22" w:name="scope-of-services"/>
    <w:p>
      <w:pPr>
        <w:pStyle w:val="Heading2"/>
      </w:pPr>
      <w:r>
        <w:t xml:space="preserve">2. Scope of Services</w:t>
      </w:r>
    </w:p>
    <w:p>
      <w:pPr>
        <w:pStyle w:val="FirstParagraph"/>
      </w:pPr>
      <w:r>
        <w:t xml:space="preserve">The following table details the individual service components included in this</w:t>
      </w:r>
      <w:r>
        <w:t xml:space="preserve"> </w:t>
      </w:r>
      <w:r>
        <w:t xml:space="preserve">Quotation Estimate</w:t>
      </w:r>
      <w:r>
        <w:t xml:space="preserve"> </w:t>
      </w:r>
      <w:r>
        <w:t xml:space="preserve">for the Politician's engagement in</w:t>
      </w:r>
      <w:r>
        <w:t xml:space="preserve"> </w:t>
      </w:r>
      <w:r>
        <w:t xml:space="preserve">Germany Frankfurt</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Estimated Cost (EUR)</w:t>
            </w:r>
          </w:p>
        </w:tc>
      </w:tr>
      <w:tr>
        <w:tc>
          <w:tcPr/>
          <w:p>
            <w:pPr>
              <w:pStyle w:val="Compact"/>
              <w:jc w:val="left"/>
            </w:pPr>
            <w:r>
              <w:t xml:space="preserve">2.1</w:t>
            </w:r>
          </w:p>
        </w:tc>
        <w:tc>
          <w:tcPr/>
          <w:p>
            <w:pPr>
              <w:pStyle w:val="Compact"/>
              <w:jc w:val="left"/>
            </w:pPr>
            <w:r>
              <w:rPr>
                <w:bCs/>
                <w:b/>
              </w:rPr>
              <w:t xml:space="preserve">Electoral Strategy Development:</w:t>
            </w:r>
            <w:r>
              <w:t xml:space="preserve"> </w:t>
            </w:r>
            <w:r>
              <w:t xml:space="preserve">Full strategic planning for the Politician's 2026 campaign in the Frankfurt am Main constituency, including voter demographic analysis, polling interpretation, messaging architecture, and competitive positioning against rival candidates across all registered parties in the region.</w:t>
            </w:r>
          </w:p>
        </w:tc>
        <w:tc>
          <w:tcPr/>
          <w:p>
            <w:pPr>
              <w:pStyle w:val="Compact"/>
              <w:jc w:val="left"/>
            </w:pPr>
            <w:r>
              <w:t xml:space="preserve">August 2025 – February 2026</w:t>
            </w:r>
          </w:p>
        </w:tc>
        <w:tc>
          <w:tcPr/>
          <w:p>
            <w:pPr>
              <w:pStyle w:val="Compact"/>
              <w:jc w:val="left"/>
            </w:pPr>
            <w:r>
              <w:t xml:space="preserve">€48,500.00</w:t>
            </w:r>
          </w:p>
        </w:tc>
      </w:tr>
      <w:tr>
        <w:tc>
          <w:tcPr/>
          <w:p>
            <w:pPr>
              <w:pStyle w:val="Compact"/>
              <w:jc w:val="left"/>
            </w:pPr>
            <w:r>
              <w:t xml:space="preserve">2.2</w:t>
            </w:r>
          </w:p>
        </w:tc>
        <w:tc>
          <w:tcPr/>
          <w:p>
            <w:pPr>
              <w:pStyle w:val="Compact"/>
              <w:jc w:val="left"/>
            </w:pPr>
            <w:r>
              <w:rPr>
                <w:bCs/>
                <w:b/>
              </w:rPr>
              <w:t xml:space="preserve">Public Relations &amp; Media Management:</w:t>
            </w:r>
            <w:r>
              <w:t xml:space="preserve"> </w:t>
            </w:r>
            <w:r>
              <w:t xml:space="preserve">Ongoing management of the Politician's media presence in Frankfurt-based and national German press, including press briefing preparation, media training sessions, crisis communication protocols, and coordination with the Frankfurt am Main local press corps (Frankfurter Allgemeine Zeitung, Frankfurter Rundschau, Hessischer Rundfunk, and regional broadcasters).</w:t>
            </w:r>
          </w:p>
        </w:tc>
        <w:tc>
          <w:tcPr/>
          <w:p>
            <w:pPr>
              <w:pStyle w:val="Compact"/>
              <w:jc w:val="left"/>
            </w:pPr>
            <w:r>
              <w:t xml:space="preserve">September 2025 – March 2026</w:t>
            </w:r>
          </w:p>
        </w:tc>
        <w:tc>
          <w:tcPr/>
          <w:p>
            <w:pPr>
              <w:pStyle w:val="Compact"/>
              <w:jc w:val="left"/>
            </w:pPr>
            <w:r>
              <w:t xml:space="preserve">€36,200.00</w:t>
            </w:r>
          </w:p>
        </w:tc>
      </w:tr>
      <w:tr>
        <w:tc>
          <w:tcPr/>
          <w:p>
            <w:pPr>
              <w:pStyle w:val="Compact"/>
              <w:jc w:val="left"/>
            </w:pPr>
            <w:r>
              <w:t xml:space="preserve">2.3</w:t>
            </w:r>
          </w:p>
        </w:tc>
        <w:tc>
          <w:tcPr/>
          <w:p>
            <w:pPr>
              <w:pStyle w:val="Compact"/>
              <w:jc w:val="left"/>
            </w:pPr>
            <w:r>
              <w:rPr>
                <w:bCs/>
                <w:b/>
              </w:rPr>
              <w:t xml:space="preserve">Constituency Engagement Programme:</w:t>
            </w:r>
            <w:r>
              <w:t xml:space="preserve"> </w:t>
            </w:r>
            <w:r>
              <w:t xml:space="preserve">Design and execution of a structured door-to-door and community engagement programme across all 16 electoral districts within the Frankfurt am Main constituency, including town hall meetings in Frankfurt, Offenbach, Bad Homburg, and Eschborn, as well as participation in local civic events and the Frankfurt Buchmesse political forum.</w:t>
            </w:r>
          </w:p>
        </w:tc>
        <w:tc>
          <w:tcPr/>
          <w:p>
            <w:pPr>
              <w:pStyle w:val="Compact"/>
              <w:jc w:val="left"/>
            </w:pPr>
            <w:r>
              <w:t xml:space="preserve">October 2025 – February 2026</w:t>
            </w:r>
          </w:p>
        </w:tc>
        <w:tc>
          <w:tcPr/>
          <w:p>
            <w:pPr>
              <w:pStyle w:val="Compact"/>
              <w:jc w:val="left"/>
            </w:pPr>
            <w:r>
              <w:t xml:space="preserve">€29,800.00</w:t>
            </w:r>
          </w:p>
        </w:tc>
      </w:tr>
      <w:tr>
        <w:tc>
          <w:tcPr/>
          <w:p>
            <w:pPr>
              <w:pStyle w:val="Compact"/>
              <w:jc w:val="left"/>
            </w:pPr>
            <w:r>
              <w:t xml:space="preserve">2.4</w:t>
            </w:r>
          </w:p>
        </w:tc>
        <w:tc>
          <w:tcPr/>
          <w:p>
            <w:pPr>
              <w:pStyle w:val="Compact"/>
              <w:jc w:val="left"/>
            </w:pPr>
            <w:r>
              <w:rPr>
                <w:bCs/>
                <w:b/>
              </w:rPr>
              <w:t xml:space="preserve">Digital Campaign &amp; Social Media Strategy:</w:t>
            </w:r>
            <w:r>
              <w:t xml:space="preserve"> </w:t>
            </w:r>
            <w:r>
              <w:t xml:space="preserve">Development and management of the Politician's digital presence, including website optimisation, social media content calendars (X, LinkedIn, Instagram, YouTube), targeted digital advertising campaigns geo-fenced to the Frankfurt Rhein-Main area, and data-driven voter outreach via compliant digital channels in accordance with German data protection regulations (DSGVO / GDPR).</w:t>
            </w:r>
          </w:p>
        </w:tc>
        <w:tc>
          <w:tcPr/>
          <w:p>
            <w:pPr>
              <w:pStyle w:val="Compact"/>
              <w:jc w:val="left"/>
            </w:pPr>
            <w:r>
              <w:t xml:space="preserve">September 2025 – March 2026</w:t>
            </w:r>
          </w:p>
        </w:tc>
        <w:tc>
          <w:tcPr/>
          <w:p>
            <w:pPr>
              <w:pStyle w:val="Compact"/>
              <w:jc w:val="left"/>
            </w:pPr>
            <w:r>
              <w:t xml:space="preserve">€22,400.00</w:t>
            </w:r>
          </w:p>
        </w:tc>
      </w:tr>
      <w:tr>
        <w:tc>
          <w:tcPr/>
          <w:p>
            <w:pPr>
              <w:pStyle w:val="Compact"/>
              <w:jc w:val="left"/>
            </w:pPr>
            <w:r>
              <w:t xml:space="preserve">2.5</w:t>
            </w:r>
          </w:p>
        </w:tc>
        <w:tc>
          <w:tcPr/>
          <w:p>
            <w:pPr>
              <w:pStyle w:val="Compact"/>
              <w:jc w:val="left"/>
            </w:pPr>
            <w:r>
              <w:rPr>
                <w:bCs/>
                <w:b/>
              </w:rPr>
              <w:t xml:space="preserve">Policy Briefing &amp; Legislative Advisory:</w:t>
            </w:r>
            <w:r>
              <w:t xml:space="preserve"> </w:t>
            </w:r>
            <w:r>
              <w:t xml:space="preserve">Weekly policy briefings for the Politician covering Hessian state legislation, European Union policy developments affecting Frankfurt's financial sector, and federal legislative matters. Includes preparation of position papers, speech drafts for Landtag plenary sessions, and briefing documents for committee work in the Hessian State Parliament.</w:t>
            </w:r>
          </w:p>
        </w:tc>
        <w:tc>
          <w:tcPr/>
          <w:p>
            <w:pPr>
              <w:pStyle w:val="Compact"/>
              <w:jc w:val="left"/>
            </w:pPr>
            <w:r>
              <w:t xml:space="preserve">August 2025 – March 2026</w:t>
            </w:r>
          </w:p>
        </w:tc>
        <w:tc>
          <w:tcPr/>
          <w:p>
            <w:pPr>
              <w:pStyle w:val="Compact"/>
              <w:jc w:val="left"/>
            </w:pPr>
            <w:r>
              <w:t xml:space="preserve">€31,600.00</w:t>
            </w:r>
          </w:p>
        </w:tc>
      </w:tr>
      <w:tr>
        <w:tc>
          <w:tcPr/>
          <w:p>
            <w:pPr>
              <w:pStyle w:val="Compact"/>
              <w:jc w:val="left"/>
            </w:pPr>
            <w:r>
              <w:t xml:space="preserve">2.6</w:t>
            </w:r>
          </w:p>
        </w:tc>
        <w:tc>
          <w:tcPr/>
          <w:p>
            <w:pPr>
              <w:pStyle w:val="Compact"/>
              <w:jc w:val="left"/>
            </w:pPr>
            <w:r>
              <w:rPr>
                <w:bCs/>
                <w:b/>
              </w:rPr>
              <w:t xml:space="preserve">Event Production &amp; Logistics:</w:t>
            </w:r>
            <w:r>
              <w:t xml:space="preserve"> </w:t>
            </w:r>
            <w:r>
              <w:t xml:space="preserve">Planning, coordination, and on-site management of a minimum of twelve (12) campaign events in and around Frankfurt am Main, including the primary campaign launch event at the Alte Oper Frankfurt, mid-term rally at the Festwiese, and the final campaign gathering at the Römerberg. All logistics, venue coordination, security planning, and compliance with Frankfurt municipal event regulations are included.</w:t>
            </w:r>
          </w:p>
        </w:tc>
        <w:tc>
          <w:tcPr/>
          <w:p>
            <w:pPr>
              <w:pStyle w:val="Compact"/>
              <w:jc w:val="left"/>
            </w:pPr>
            <w:r>
              <w:t xml:space="preserve">November 2025 – February 2026</w:t>
            </w:r>
          </w:p>
        </w:tc>
        <w:tc>
          <w:tcPr/>
          <w:p>
            <w:pPr>
              <w:pStyle w:val="Compact"/>
              <w:jc w:val="left"/>
            </w:pPr>
            <w:r>
              <w:t xml:space="preserve">€18,700.00</w:t>
            </w:r>
          </w:p>
        </w:tc>
      </w:tr>
      <w:tr>
        <w:tc>
          <w:tcPr/>
          <w:p>
            <w:pPr>
              <w:pStyle w:val="Compact"/>
              <w:jc w:val="left"/>
            </w:pPr>
            <w:r>
              <w:t xml:space="preserve">2.7</w:t>
            </w:r>
          </w:p>
        </w:tc>
        <w:tc>
          <w:tcPr/>
          <w:p>
            <w:pPr>
              <w:pStyle w:val="Compact"/>
              <w:jc w:val="left"/>
            </w:pPr>
            <w:r>
              <w:rPr>
                <w:bCs/>
                <w:b/>
              </w:rPr>
              <w:t xml:space="preserve">Post-Election Transition &amp; Office Setup:</w:t>
            </w:r>
            <w:r>
              <w:t xml:space="preserve"> </w:t>
            </w:r>
            <w:r>
              <w:t xml:space="preserve">Advisory services for the Politician's transition into the new legislative term, including office setup in the Hessian State Parliament building in Wiesbaden, coordination with the Frankfurt constituency office, staff recruitment guidance, and initial legislative programme development for the first 90 days of the new term.</w:t>
            </w:r>
          </w:p>
        </w:tc>
        <w:tc>
          <w:tcPr/>
          <w:p>
            <w:pPr>
              <w:pStyle w:val="Compact"/>
              <w:jc w:val="left"/>
            </w:pPr>
            <w:r>
              <w:t xml:space="preserve">April 2026 – June 2026</w:t>
            </w:r>
          </w:p>
        </w:tc>
        <w:tc>
          <w:tcPr/>
          <w:p>
            <w:pPr>
              <w:pStyle w:val="Compact"/>
              <w:jc w:val="left"/>
            </w:pPr>
            <w:r>
              <w:t xml:space="preserve">€14,300.00</w:t>
            </w:r>
          </w:p>
        </w:tc>
      </w:tr>
    </w:tbl>
    <w:bookmarkEnd w:id="22"/>
    <w:bookmarkStart w:id="23" w:name="financial-summary"/>
    <w:p>
      <w:pPr>
        <w:pStyle w:val="Heading2"/>
      </w:pPr>
      <w:r>
        <w:t xml:space="preserve">3. Financial Summary</w:t>
      </w:r>
    </w:p>
    <w:tbl>
      <w:tblPr>
        <w:tblStyle w:val="Table"/>
        <w:tblW w:type="auto" w:w="0"/>
        <w:tblLook w:firstRow="1" w:lastRow="0" w:firstColumn="0" w:lastColumn="0" w:noHBand="0" w:noVBand="0" w:val="0020"/>
      </w:tblPr>
      <w:tblGrid>
        <w:gridCol w:w="2640"/>
        <w:gridCol w:w="2640"/>
        <w:gridCol w:w="2640"/>
      </w:tblGrid>
      <w:tr>
        <w:trPr>
          <w:tblHeader w:val="true"/>
        </w:trPr>
        <w:tc>
          <w:tcPr>
            <w:gridSpan w:val="2"/>
          </w:tcPr>
          <w:p>
            <w:pPr>
              <w:pStyle w:val="Compact"/>
              <w:jc w:val="left"/>
            </w:pPr>
            <w:r>
              <w:t xml:space="preserve">Cost Breakdown</w:t>
            </w:r>
          </w:p>
        </w:tc>
        <w:tc>
          <w:tcPr/>
          <w:p>
            <w:pPr>
              <w:pStyle w:val="Compact"/>
              <w:jc w:val="left"/>
            </w:pPr>
            <w:r>
              <w:t xml:space="preserve">Amount (EUR)</w:t>
            </w:r>
          </w:p>
        </w:tc>
      </w:tr>
      <w:tr>
        <w:tc>
          <w:tcPr>
            <w:gridSpan w:val="2"/>
          </w:tcPr>
          <w:p>
            <w:pPr>
              <w:pStyle w:val="Compact"/>
              <w:jc w:val="left"/>
            </w:pPr>
            <w:r>
              <w:t xml:space="preserve">Subtotal – All Service Components (Items 2.1 through 2.7)</w:t>
            </w:r>
          </w:p>
        </w:tc>
        <w:tc>
          <w:tcPr/>
          <w:p>
            <w:pPr>
              <w:pStyle w:val="Compact"/>
              <w:jc w:val="left"/>
            </w:pPr>
            <w:r>
              <w:t xml:space="preserve">€201,500.00</w:t>
            </w:r>
          </w:p>
        </w:tc>
      </w:tr>
      <w:tr>
        <w:tc>
          <w:tcPr>
            <w:gridSpan w:val="2"/>
          </w:tcPr>
          <w:p>
            <w:pPr>
              <w:pStyle w:val="Compact"/>
              <w:jc w:val="left"/>
            </w:pPr>
            <w:r>
              <w:t xml:space="preserve">Applicable Discount – Long-term Political Advisory Retainer (5%)</w:t>
            </w:r>
          </w:p>
        </w:tc>
        <w:tc>
          <w:tcPr/>
          <w:p>
            <w:pPr>
              <w:pStyle w:val="Compact"/>
              <w:jc w:val="left"/>
            </w:pPr>
            <w:r>
              <w:t xml:space="preserve">– €10,075.00</w:t>
            </w:r>
          </w:p>
        </w:tc>
      </w:tr>
      <w:tr>
        <w:tc>
          <w:tcPr>
            <w:gridSpan w:val="2"/>
          </w:tcPr>
          <w:p>
            <w:pPr>
              <w:pStyle w:val="Compact"/>
              <w:jc w:val="left"/>
            </w:pPr>
            <w:r>
              <w:t xml:space="preserve">Net Service Fee</w:t>
            </w:r>
          </w:p>
        </w:tc>
        <w:tc>
          <w:tcPr/>
          <w:p>
            <w:pPr>
              <w:pStyle w:val="Compact"/>
              <w:jc w:val="left"/>
            </w:pPr>
            <w:r>
              <w:t xml:space="preserve">€191,425.00</w:t>
            </w:r>
          </w:p>
        </w:tc>
      </w:tr>
      <w:tr>
        <w:tc>
          <w:tcPr>
            <w:gridSpan w:val="2"/>
          </w:tcPr>
          <w:p>
            <w:pPr>
              <w:pStyle w:val="Compact"/>
              <w:jc w:val="left"/>
            </w:pPr>
            <w:r>
              <w:t xml:space="preserve">German VAT (Mehrwertsteuer) at 19%</w:t>
            </w:r>
          </w:p>
        </w:tc>
        <w:tc>
          <w:tcPr/>
          <w:p>
            <w:pPr>
              <w:pStyle w:val="Compact"/>
              <w:jc w:val="left"/>
            </w:pPr>
            <w:r>
              <w:t xml:space="preserve">€36,370.75</w:t>
            </w:r>
          </w:p>
        </w:tc>
      </w:tr>
      <w:tr>
        <w:tc>
          <w:tcPr>
            <w:gridSpan w:val="2"/>
          </w:tcPr>
          <w:p>
            <w:pPr>
              <w:pStyle w:val="Compact"/>
              <w:jc w:val="left"/>
            </w:pPr>
            <w:r>
              <w:t xml:space="preserve">TOTAL ESTIMATED COST (Incl. VAT)</w:t>
            </w:r>
          </w:p>
        </w:tc>
        <w:tc>
          <w:tcPr/>
          <w:p>
            <w:pPr>
              <w:pStyle w:val="Compact"/>
              <w:jc w:val="left"/>
            </w:pPr>
            <w:r>
              <w:t xml:space="preserve">€227,795.75</w:t>
            </w:r>
          </w:p>
        </w:tc>
      </w:tr>
    </w:tbl>
    <w:p>
      <w:pPr>
        <w:pStyle w:val="BodyText"/>
      </w:pPr>
      <w:r>
        <w:rPr>
          <w:bCs/>
          <w:b/>
        </w:rPr>
        <w:t xml:space="preserve">Important Note:</w:t>
      </w:r>
      <w:r>
        <w:t xml:space="preserve"> </w:t>
      </w:r>
      <w:r>
        <w:t xml:space="preserve">This</w:t>
      </w:r>
      <w:r>
        <w:t xml:space="preserve"> </w:t>
      </w:r>
      <w:r>
        <w:t xml:space="preserve">Quotation Estimate</w:t>
      </w:r>
      <w:r>
        <w:t xml:space="preserve"> </w:t>
      </w:r>
      <w:r>
        <w:t xml:space="preserve">is a good-faith projection of costs based on the current scope of work. Final invoicing will be issued on a monthly basis in arrears. Any material change in the scope of services requested by the Politician's office beyond the parameters described in Section 2 will be subject to a supplementary quotation. All payments are to be made via bank transfer to RheinMain Political Advisory GmbH, IBAN: DE89 5001 0517 0400 0123 45, BIC: PBNKDEFF, Frankfurt am Main.</w:t>
      </w:r>
    </w:p>
    <w:bookmarkEnd w:id="23"/>
    <w:bookmarkStart w:id="24" w:name="terms-and-conditions"/>
    <w:p>
      <w:pPr>
        <w:pStyle w:val="Heading2"/>
      </w:pPr>
      <w:r>
        <w:t xml:space="preserve">4. Terms and Conditions</w:t>
      </w:r>
    </w:p>
    <w:p>
      <w:pPr>
        <w:pStyle w:val="FirstParagraph"/>
      </w:pPr>
      <w:r>
        <w:rPr>
          <w:bCs/>
          <w:b/>
        </w:rPr>
        <w:t xml:space="preserve">4.1</w:t>
      </w:r>
      <w:r>
        <w:t xml:space="preserve"> </w:t>
      </w:r>
      <w:r>
        <w:t xml:space="preserve">This</w:t>
      </w:r>
      <w:r>
        <w:t xml:space="preserve"> </w:t>
      </w:r>
      <w:r>
        <w:t xml:space="preserve">Quotation Estimate</w:t>
      </w:r>
      <w:r>
        <w:t xml:space="preserve"> </w:t>
      </w:r>
      <w:r>
        <w:t xml:space="preserve">is valid for a period of thirty (30) calendar days from the date of issue. Upon acceptance, a binding service agreement will be executed between RheinMain Political Advisory GmbH and the office of the Politician in accordance with the German Civil Code (Bürgerliches Gesetzbuch – BGB).</w:t>
      </w:r>
    </w:p>
    <w:p>
      <w:pPr>
        <w:pStyle w:val="BodyText"/>
      </w:pPr>
      <w:r>
        <w:rPr>
          <w:bCs/>
          <w:b/>
        </w:rPr>
        <w:t xml:space="preserve">4.2</w:t>
      </w:r>
      <w:r>
        <w:t xml:space="preserve"> </w:t>
      </w:r>
      <w:r>
        <w:t xml:space="preserve">All services shall be performed in full compliance with the German Federal Election Act (Bundeswahlordnung), the Hessian State Election Act (Hessisches Landeswahlgesetz), and all applicable campaign finance regulations governing political activity in</w:t>
      </w:r>
      <w:r>
        <w:t xml:space="preserve"> </w:t>
      </w:r>
      <w:r>
        <w:t xml:space="preserve">Germany Frankfurt</w:t>
      </w:r>
      <w:r>
        <w:t xml:space="preserve"> </w:t>
      </w:r>
      <w:r>
        <w:t xml:space="preserve">and the state of Hesse.</w:t>
      </w:r>
    </w:p>
    <w:p>
      <w:pPr>
        <w:pStyle w:val="BodyText"/>
      </w:pPr>
      <w:r>
        <w:rPr>
          <w:bCs/>
          <w:b/>
        </w:rPr>
        <w:t xml:space="preserve">4.3</w:t>
      </w:r>
      <w:r>
        <w:t xml:space="preserve"> </w:t>
      </w:r>
      <w:r>
        <w:t xml:space="preserve">The Politician's office shall provide timely access to all necessary information, personnel, and venues required for the execution of the services outlined in this estimate. Delays attributable to the client shall not extend the project timeline without written mutual agreement.</w:t>
      </w:r>
    </w:p>
    <w:p>
      <w:pPr>
        <w:pStyle w:val="BodyText"/>
      </w:pPr>
      <w:r>
        <w:rPr>
          <w:bCs/>
          <w:b/>
        </w:rPr>
        <w:t xml:space="preserve">4.4</w:t>
      </w:r>
      <w:r>
        <w:t xml:space="preserve"> </w:t>
      </w:r>
      <w:r>
        <w:t xml:space="preserve">RheinMain Political Advisory GmbH shall maintain strict confidentiality regarding all strategic, political, and personal information pertaining to the Politician. A mutual Non-Disclosure Agreement (NDA) shall be executed prior to the commencement of any services.</w:t>
      </w:r>
    </w:p>
    <w:p>
      <w:pPr>
        <w:pStyle w:val="BodyText"/>
      </w:pPr>
      <w:r>
        <w:rPr>
          <w:bCs/>
          <w:b/>
        </w:rPr>
        <w:t xml:space="preserve">4.5</w:t>
      </w:r>
      <w:r>
        <w:t xml:space="preserve"> </w:t>
      </w:r>
      <w:r>
        <w:t xml:space="preserve">Payment terms: Net 30 days from the date of invoice. Late payments shall accrue interest at the statutory rate under § 288 BGB. The Politician's office reserves the right to request itemised invoices for each service component.</w:t>
      </w:r>
    </w:p>
    <w:p>
      <w:pPr>
        <w:pStyle w:val="BodyText"/>
      </w:pPr>
      <w:r>
        <w:rPr>
          <w:bCs/>
          <w:b/>
        </w:rPr>
        <w:t xml:space="preserve">4.6</w:t>
      </w:r>
      <w:r>
        <w:t xml:space="preserve"> </w:t>
      </w:r>
      <w:r>
        <w:t xml:space="preserve">This Quotation Estimate does not constitute a guarantee of electoral outcome. All strategic recommendations are provided as professional advisory services and do not constitute legal, financial, or tax advice.</w:t>
      </w:r>
    </w:p>
    <w:p>
      <w:pPr>
        <w:pStyle w:val="BodyText"/>
      </w:pPr>
      <w:r>
        <w:rPr>
          <w:bCs/>
          <w:b/>
        </w:rPr>
        <w:t xml:space="preserve">4.7</w:t>
      </w:r>
      <w:r>
        <w:t xml:space="preserve"> </w:t>
      </w:r>
      <w:r>
        <w:t xml:space="preserve">Governing law: The laws of the Federal Republic of Germany. Jurisdiction: The competent courts of Frankfurt am Main, Germany.</w:t>
      </w:r>
    </w:p>
    <w:bookmarkEnd w:id="24"/>
    <w:bookmarkStart w:id="25" w:name="acceptance-and-authorisation"/>
    <w:p>
      <w:pPr>
        <w:pStyle w:val="Heading2"/>
      </w:pPr>
      <w:r>
        <w:t xml:space="preserve">5. Acceptance and Authorisation</w:t>
      </w:r>
    </w:p>
    <w:p>
      <w:pPr>
        <w:pStyle w:val="FirstParagraph"/>
      </w:pPr>
      <w:r>
        <w:t xml:space="preserve">By signing below, the Politician's authorised representative confirms acceptance of this</w:t>
      </w:r>
      <w:r>
        <w:t xml:space="preserve"> </w:t>
      </w:r>
      <w:r>
        <w:t xml:space="preserve">Quotation Estimate</w:t>
      </w:r>
      <w:r>
        <w:t xml:space="preserve"> </w:t>
      </w:r>
      <w:r>
        <w:t xml:space="preserve">and authorises RheinMain Political Advisory GmbH to commence the services described herein for the Politician's engagement in</w:t>
      </w:r>
      <w:r>
        <w:t xml:space="preserve"> </w:t>
      </w:r>
      <w:r>
        <w:t xml:space="preserve">Germany Frankfurt</w:t>
      </w:r>
      <w:r>
        <w:t xml:space="preserve">.</w:t>
      </w:r>
    </w:p>
    <w:p>
      <w:pPr>
        <w:pStyle w:val="BodyText"/>
      </w:pPr>
      <w:r>
        <w:rPr>
          <w:bCs/>
          <w:b/>
        </w:rPr>
        <w:t xml:space="preserve">For and on behalf of RheinMain Political Advisory GmbH</w:t>
      </w:r>
    </w:p>
    <w:p>
      <w:pPr>
        <w:pStyle w:val="BodyText"/>
      </w:pPr>
      <w:r>
        <w:t xml:space="preserve">Dr. Heinrich Vogel, Managing Director</w:t>
      </w:r>
    </w:p>
    <w:p>
      <w:pPr>
        <w:pStyle w:val="BodyText"/>
      </w:pPr>
      <w:r>
        <w:t xml:space="preserve">Frankfurt am Main, Germany</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Politician's Office</w:t>
      </w:r>
    </w:p>
    <w:p>
      <w:pPr>
        <w:pStyle w:val="BodyText"/>
      </w:pPr>
      <w:r>
        <w:t xml:space="preserve">Prof. Dr. Katharina Steinbach (or authorised representative)</w:t>
      </w:r>
    </w:p>
    <w:p>
      <w:pPr>
        <w:pStyle w:val="BodyText"/>
      </w:pPr>
      <w:r>
        <w:t xml:space="preserve">Frankfurt am Main, Germany</w:t>
      </w:r>
    </w:p>
    <w:p>
      <w:pPr>
        <w:pStyle w:val="BodyText"/>
      </w:pPr>
      <w:r>
        <w:t xml:space="preserve">Signature: ___________________________</w:t>
      </w:r>
    </w:p>
    <w:p>
      <w:pPr>
        <w:pStyle w:val="BodyText"/>
      </w:pPr>
      <w:r>
        <w:t xml:space="preserve">Date: ___________________________</w:t>
      </w:r>
    </w:p>
    <w:p>
      <w:pPr>
        <w:pStyle w:val="BodyText"/>
      </w:pPr>
      <w:r>
        <w:t xml:space="preserve">RheinMain Political Advisory GmbH | Mainzer Landstraße 185, 60329 Frankfurt am Main, Germany | HRB 88412, Amtsgericht Frankfurt am Main</w:t>
      </w:r>
    </w:p>
    <w:p>
      <w:pPr>
        <w:pStyle w:val="BodyText"/>
      </w:pPr>
      <w:r>
        <w:t xml:space="preserve">Phone: +49 69 4455 7800 | Email: estimates@rheinmain-political-advisory.de | USt-IdNr.: DE315487921</w:t>
      </w:r>
    </w:p>
    <w:p>
      <w:pPr>
        <w:pStyle w:val="BodyText"/>
      </w:pPr>
      <w:r>
        <w:t xml:space="preserve">This Quotation Estimate document is confidential and intended solely for the named recipient. Unauthorised reproduction or distribution is prohibited under German copyright law (Urheberrechtsgesetz).</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Political Consulting Services - Frankfurt, Germany</dc:title>
  <dc:creator/>
  <dc:language>en</dc:language>
  <cp:keywords/>
  <dcterms:created xsi:type="dcterms:W3CDTF">2026-10-10T04:12:48Z</dcterms:created>
  <dcterms:modified xsi:type="dcterms:W3CDTF">2026-10-10T04:12:48Z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