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bavaria-political-advisory-group-gmbh"/>
    <w:p>
      <w:pPr>
        <w:pStyle w:val="Heading1"/>
      </w:pPr>
      <w:r>
        <w:t xml:space="preserve">Bavaria Political Advisory Group GmbH</w:t>
      </w:r>
    </w:p>
    <w:p>
      <w:pPr>
        <w:pStyle w:val="FirstParagraph"/>
      </w:pPr>
      <w:r>
        <w:t xml:space="preserve">Maximilianstraße 42, 80539 Munich, Germany</w:t>
      </w:r>
    </w:p>
    <w:p>
      <w:pPr>
        <w:pStyle w:val="BodyText"/>
      </w:pPr>
      <w:r>
        <w:t xml:space="preserve">Phone: +49 89 1234 5678 | Email: estimates@bavaria-political.de</w:t>
      </w:r>
    </w:p>
    <w:p>
      <w:pPr>
        <w:pStyle w:val="BodyText"/>
      </w:pPr>
      <w:r>
        <w:t xml:space="preserve">USt-IdNr: DE 123 456 789 | HRB 98765 Munich District Court</w:t>
      </w:r>
    </w:p>
    <w:bookmarkEnd w:id="20"/>
    <w:bookmarkStart w:id="21" w:name="quotation-estimate"/>
    <w:p>
      <w:pPr>
        <w:pStyle w:val="Heading2"/>
      </w:pPr>
      <w:r>
        <w:t xml:space="preserve">QUOTATION ESTIMATE</w:t>
      </w:r>
    </w:p>
    <w:p>
      <w:pPr>
        <w:pStyle w:val="FirstParagraph"/>
      </w:pPr>
      <w:r>
        <w:t xml:space="preserve">Reference No.: QTE-2025-MUC-0847</w:t>
      </w:r>
    </w:p>
    <w:p>
      <w:pPr>
        <w:pStyle w:val="BodyText"/>
      </w:pPr>
      <w:r>
        <w:t xml:space="preserve">Date of Issue: 15 June 2025</w:t>
      </w:r>
    </w:p>
    <w:p>
      <w:pPr>
        <w:pStyle w:val="BodyText"/>
      </w:pPr>
      <w:r>
        <w:t xml:space="preserve">Valid Until: 15 July 2025</w:t>
      </w:r>
    </w:p>
    <w:bookmarkEnd w:id="21"/>
    <w:bookmarkStart w:id="24" w:name="parties-to-this-quotation-estimate"/>
    <w:p>
      <w:pPr>
        <w:pStyle w:val="Heading3"/>
      </w:pPr>
      <w:r>
        <w:t xml:space="preserve">1. Parties to This Quotation Estimate</w:t>
      </w:r>
    </w:p>
    <w:bookmarkStart w:id="22" w:name="prepared-for-client"/>
    <w:p>
      <w:pPr>
        <w:pStyle w:val="Heading4"/>
      </w:pPr>
      <w:r>
        <w:t xml:space="preserve">Prepared For (Client)</w:t>
      </w:r>
    </w:p>
    <w:p>
      <w:pPr>
        <w:pStyle w:val="FirstParagraph"/>
      </w:pPr>
      <w:r>
        <w:rPr>
          <w:bCs/>
          <w:b/>
        </w:rPr>
        <w:t xml:space="preserve">Hon. Dr. Katharina Vogel</w:t>
      </w:r>
    </w:p>
    <w:p>
      <w:pPr>
        <w:pStyle w:val="BodyText"/>
      </w:pPr>
      <w:r>
        <w:t xml:space="preserve">Politician, Member of the Bavarian State Parliament (Landtag)</w:t>
      </w:r>
    </w:p>
    <w:p>
      <w:pPr>
        <w:pStyle w:val="BodyText"/>
      </w:pPr>
      <w:r>
        <w:t xml:space="preserve">Office: Bayerischer Landtag, Maximilianeum, Ludwigstraße 16-20</w:t>
      </w:r>
    </w:p>
    <w:p>
      <w:pPr>
        <w:pStyle w:val="BodyText"/>
      </w:pPr>
      <w:r>
        <w:t xml:space="preserve">80539 Munich, Germany</w:t>
      </w:r>
    </w:p>
    <w:p>
      <w:pPr>
        <w:pStyle w:val="BodyText"/>
      </w:pPr>
      <w:r>
        <w:t xml:space="preserve">Email: k.vogel@landtag-bayern.de</w:t>
      </w:r>
    </w:p>
    <w:bookmarkEnd w:id="22"/>
    <w:bookmarkStart w:id="23" w:name="prepared-by-provider"/>
    <w:p>
      <w:pPr>
        <w:pStyle w:val="Heading4"/>
      </w:pPr>
      <w:r>
        <w:t xml:space="preserve">Prepared By (Provider)</w:t>
      </w:r>
    </w:p>
    <w:p>
      <w:pPr>
        <w:pStyle w:val="FirstParagraph"/>
      </w:pPr>
      <w:r>
        <w:rPr>
          <w:bCs/>
          <w:b/>
        </w:rPr>
        <w:t xml:space="preserve">Bavaria Political Advisory Group GmbH</w:t>
      </w:r>
    </w:p>
    <w:p>
      <w:pPr>
        <w:pStyle w:val="BodyText"/>
      </w:pPr>
      <w:r>
        <w:t xml:space="preserve">Managing Director: Prof. Dr. Heinrich Brandt</w:t>
      </w:r>
    </w:p>
    <w:p>
      <w:pPr>
        <w:pStyle w:val="BodyText"/>
      </w:pPr>
      <w:r>
        <w:t xml:space="preserve">Maximilianstraße 42, 80539 Munich, Germany</w:t>
      </w:r>
    </w:p>
    <w:p>
      <w:pPr>
        <w:pStyle w:val="BodyText"/>
      </w:pPr>
      <w:r>
        <w:t xml:space="preserve">Email: estimates@bavaria-political.de</w:t>
      </w:r>
    </w:p>
    <w:p>
      <w:pPr>
        <w:pStyle w:val="BodyText"/>
      </w:pPr>
      <w:r>
        <w:t xml:space="preserve">Phone: +49 89 1234 5678</w:t>
      </w:r>
    </w:p>
    <w:bookmarkEnd w:id="23"/>
    <w:bookmarkEnd w:id="24"/>
    <w:bookmarkStart w:id="25" w:name="X0c7581080508d578c26b6d8dfd726c7e3ca5cc9"/>
    <w:p>
      <w:pPr>
        <w:pStyle w:val="Heading3"/>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in connection with the comprehensive political advisory, strategic communication, and campaign support services to be rendered to</w:t>
      </w:r>
      <w:r>
        <w:t xml:space="preserve"> </w:t>
      </w:r>
      <w:r>
        <w:t xml:space="preserve">Politician</w:t>
      </w:r>
      <w:r>
        <w:t xml:space="preserve"> </w:t>
      </w:r>
      <w:r>
        <w:t xml:space="preserve">Hon. Dr. Katharina Vogel in her capacity as a serving member of the Bavarian State Parliament and prospective candidate for the upcoming 2026 European Parliament elections in the</w:t>
      </w:r>
      <w:r>
        <w:t xml:space="preserve"> </w:t>
      </w:r>
      <w:r>
        <w:t xml:space="preserve">Germany Munich</w:t>
      </w:r>
      <w:r>
        <w:t xml:space="preserve"> </w:t>
      </w:r>
      <w:r>
        <w:t xml:space="preserve">constituency. The scope of this estimate encompasses all professional services, logistical arrangements, and resource allocations required to support the Politician's legislative duties, public engagements, and electoral campaign activities within the Munich metropolitan region and the broader Free State of Bavaria.</w:t>
      </w:r>
    </w:p>
    <w:p>
      <w:pPr>
        <w:pStyle w:val="BodyText"/>
      </w:pPr>
      <w:r>
        <w:t xml:space="preserve">All figures presented in this Quotation Estimate are provided in Euro (EUR) and are subject to the applicable German value-added tax (Mehrwertsteuer) at the standard rate of 19%, unless otherwise stated. This estimate is valid for a period of thirty (30) calendar days from the date of issue and does not constitute a binding contract until formally accepted in writing by both parties.</w:t>
      </w:r>
    </w:p>
    <w:bookmarkEnd w:id="25"/>
    <w:bookmarkStart w:id="26" w:name="itemized-services-and-cost-breakdown"/>
    <w:p>
      <w:pPr>
        <w:pStyle w:val="Heading3"/>
      </w:pPr>
      <w:r>
        <w:t xml:space="preserve">3.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Strategic Political Consulting for the Politician – Monthly advisory sessions covering legislative strategy, coalition negotiations, and policy development within the Bavarian Landtag, Munich</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Public Relations and Media Management – Press conference coordination, media training, and press release drafting for the Politician's public appearances in Munich and surrounding districts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Campaign Strategy Development – Full electoral campaign planning for the 2026 European Parliament election, including voter analysis, messaging frameworks, and constituency outreach plans for the Germany Munich region</w:t>
            </w:r>
          </w:p>
        </w:tc>
        <w:tc>
          <w:tcPr/>
          <w:p>
            <w:pPr>
              <w:pStyle w:val="Compact"/>
              <w:jc w:val="left"/>
            </w:pPr>
            <w:r>
              <w:t xml:space="preserve">One-time 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Digital Communication and Social Media Management – Content creation, platform management, and digital advertising for the Politician's official channels, targeting constituents in Munich and Upper Bavaria</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Event Planning and Logistics – Coordination of up to 24 public events, town halls, and constituency meetings across Munich, including venue booking, AV equipment, security, and catering</w:t>
            </w:r>
          </w:p>
        </w:tc>
        <w:tc>
          <w:tcPr/>
          <w:p>
            <w:pPr>
              <w:pStyle w:val="Compact"/>
              <w:jc w:val="left"/>
            </w:pPr>
            <w:r>
              <w:t xml:space="preserve">24 events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06</w:t>
            </w:r>
          </w:p>
        </w:tc>
        <w:tc>
          <w:tcPr/>
          <w:p>
            <w:pPr>
              <w:pStyle w:val="Compact"/>
              <w:jc w:val="left"/>
            </w:pPr>
            <w:r>
              <w:t xml:space="preserve">Policy Research and Briefing Services – In-depth research reports, legislative impact assessments, and expert briefing documents prepared specifically for the Politician's committee work in the Bavarian Parliament</w:t>
            </w:r>
          </w:p>
        </w:tc>
        <w:tc>
          <w:tcPr/>
          <w:p>
            <w:pPr>
              <w:pStyle w:val="Compact"/>
              <w:jc w:val="left"/>
            </w:pPr>
            <w:r>
              <w:t xml:space="preserve">48 reports</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07</w:t>
            </w:r>
          </w:p>
        </w:tc>
        <w:tc>
          <w:tcPr/>
          <w:p>
            <w:pPr>
              <w:pStyle w:val="Compact"/>
              <w:jc w:val="left"/>
            </w:pPr>
            <w:r>
              <w:t xml:space="preserve">Constituency Office Support – Administrative coordination, constituent correspondence management, and scheduling services for the Politician's Munich constituency office</w:t>
            </w:r>
          </w:p>
        </w:tc>
        <w:tc>
          <w:tcPr/>
          <w:p>
            <w:pPr>
              <w:pStyle w:val="Compact"/>
              <w:jc w:val="left"/>
            </w:pPr>
            <w:r>
              <w:t xml:space="preserve">12 months</w:t>
            </w:r>
          </w:p>
        </w:tc>
        <w:tc>
          <w:tcPr/>
          <w:p>
            <w:pPr>
              <w:pStyle w:val="Compact"/>
              <w:jc w:val="left"/>
            </w:pPr>
            <w:r>
              <w:t xml:space="preserve">1,600.00</w:t>
            </w:r>
          </w:p>
        </w:tc>
        <w:tc>
          <w:tcPr/>
          <w:p>
            <w:pPr>
              <w:pStyle w:val="Compact"/>
              <w:jc w:val="left"/>
            </w:pPr>
            <w:r>
              <w:t xml:space="preserve">19,200.00</w:t>
            </w:r>
          </w:p>
        </w:tc>
      </w:tr>
      <w:tr>
        <w:tc>
          <w:tcPr/>
          <w:p>
            <w:pPr>
              <w:pStyle w:val="Compact"/>
              <w:jc w:val="left"/>
            </w:pPr>
            <w:r>
              <w:t xml:space="preserve">08</w:t>
            </w:r>
          </w:p>
        </w:tc>
        <w:tc>
          <w:tcPr/>
          <w:p>
            <w:pPr>
              <w:pStyle w:val="Compact"/>
              <w:jc w:val="left"/>
            </w:pPr>
            <w:r>
              <w:t xml:space="preserve">Legal and Compliance Advisory – Guidance on German political finance law (Parteiengesetz), campaign expenditure regulations, and compliance with Bavarian electoral authority requirements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r>
      <w:tr>
        <w:tc>
          <w:tcPr>
            <w:gridSpan w:val="4"/>
          </w:tcPr>
          <w:p>
            <w:pPr>
              <w:pStyle w:val="Compact"/>
              <w:jc w:val="left"/>
            </w:pPr>
            <w:r>
              <w:t xml:space="preserve">Subtotal (excl. VAT)</w:t>
            </w:r>
          </w:p>
        </w:tc>
        <w:tc>
          <w:tcPr/>
          <w:p>
            <w:pPr>
              <w:pStyle w:val="Compact"/>
              <w:jc w:val="left"/>
            </w:pPr>
            <w:r>
              <w:t xml:space="preserve">292,000.00</w:t>
            </w:r>
          </w:p>
        </w:tc>
      </w:tr>
      <w:tr>
        <w:tc>
          <w:tcPr>
            <w:gridSpan w:val="4"/>
          </w:tcPr>
          <w:p>
            <w:pPr>
              <w:pStyle w:val="Compact"/>
              <w:jc w:val="left"/>
            </w:pPr>
            <w:r>
              <w:t xml:space="preserve">VAT (19% – Mehrwertsteuer)</w:t>
            </w:r>
          </w:p>
        </w:tc>
        <w:tc>
          <w:tcPr/>
          <w:p>
            <w:pPr>
              <w:pStyle w:val="Compact"/>
              <w:jc w:val="left"/>
            </w:pPr>
            <w:r>
              <w:t xml:space="preserve">55,480.00</w:t>
            </w:r>
          </w:p>
        </w:tc>
      </w:tr>
      <w:tr>
        <w:tc>
          <w:tcPr>
            <w:gridSpan w:val="4"/>
          </w:tcPr>
          <w:p>
            <w:pPr>
              <w:pStyle w:val="Compact"/>
              <w:jc w:val="left"/>
            </w:pPr>
            <w:r>
              <w:rPr>
                <w:bCs/>
                <w:b/>
              </w:rPr>
              <w:t xml:space="preserve">Grand Total (incl. VAT)</w:t>
            </w:r>
          </w:p>
        </w:tc>
        <w:tc>
          <w:tcPr/>
          <w:p>
            <w:pPr>
              <w:pStyle w:val="Compact"/>
              <w:jc w:val="left"/>
            </w:pPr>
            <w:r>
              <w:rPr>
                <w:bCs/>
                <w:b/>
              </w:rPr>
              <w:t xml:space="preserve">347,480.00</w:t>
            </w:r>
          </w:p>
        </w:tc>
      </w:tr>
    </w:tbl>
    <w:bookmarkEnd w:id="26"/>
    <w:bookmarkStart w:id="27" w:name="X985eb999f0cfcda5f1af1a675bf0b7c2e0a6c64"/>
    <w:p>
      <w:pPr>
        <w:pStyle w:val="Heading3"/>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days from the date of issue. Any acceptance beyond this period requires written reconfirmation of all pricing terms.</w:t>
      </w:r>
    </w:p>
    <w:p>
      <w:pPr>
        <w:numPr>
          <w:ilvl w:val="0"/>
          <w:numId w:val="1001"/>
        </w:numPr>
        <w:pStyle w:val="Compact"/>
      </w:pPr>
      <w:r>
        <w:rPr>
          <w:bCs/>
          <w:b/>
        </w:rPr>
        <w:t xml:space="preserve">Payment Terms:</w:t>
      </w:r>
      <w:r>
        <w:t xml:space="preserve"> </w:t>
      </w:r>
      <w:r>
        <w:t xml:space="preserve">Invoices shall be issued monthly in arrears. Payment is due within fourteen (14) calendar days of invoice date via bank transfer to the provider's designated account at a German financial institution. Late payments shall incur interest at the statutory rate under § 288 BGB.</w:t>
      </w:r>
    </w:p>
    <w:p>
      <w:pPr>
        <w:numPr>
          <w:ilvl w:val="0"/>
          <w:numId w:val="1001"/>
        </w:numPr>
        <w:pStyle w:val="Compact"/>
      </w:pPr>
      <w:r>
        <w:rPr>
          <w:bCs/>
          <w:b/>
        </w:rPr>
        <w:t xml:space="preserve">Confidentiality:</w:t>
      </w:r>
      <w:r>
        <w:t xml:space="preserve"> </w:t>
      </w:r>
      <w:r>
        <w:t xml:space="preserve">All information exchanged in connection with this engagement shall be treated as strictly confidential. The Politician's political strategies, internal communications, and campaign materials shall not be disclosed to any third party without prior written consent, in accordance with German data protection regulations (DSGVO) and the Bavarian Data Protection Act (BayDSG).</w:t>
      </w:r>
    </w:p>
    <w:p>
      <w:pPr>
        <w:numPr>
          <w:ilvl w:val="0"/>
          <w:numId w:val="1001"/>
        </w:numPr>
        <w:pStyle w:val="Compact"/>
      </w:pPr>
      <w:r>
        <w:rPr>
          <w:bCs/>
          <w:b/>
        </w:rPr>
        <w:t xml:space="preserve">Termination:</w:t>
      </w:r>
      <w:r>
        <w:t xml:space="preserve"> </w:t>
      </w:r>
      <w:r>
        <w:t xml:space="preserve">Either party may terminate the ongoing service agreement with a written notice period of sixty (60) days. Project-based services (Item 03) may not be terminated once the work has commenced without incurring a 50% completion fee.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Any disputes shall be subject to the exclusive jurisdiction of the competent courts in Munich, Germany.</w:t>
      </w:r>
    </w:p>
    <w:p>
      <w:pPr>
        <w:numPr>
          <w:ilvl w:val="0"/>
          <w:numId w:val="1001"/>
        </w:numPr>
        <w:pStyle w:val="Compact"/>
      </w:pPr>
      <w:r>
        <w:rPr>
          <w:bCs/>
          <w:b/>
        </w:rPr>
        <w:t xml:space="preserve">Political Neutrality:</w:t>
      </w:r>
      <w:r>
        <w:t xml:space="preserve"> </w:t>
      </w:r>
      <w:r>
        <w:t xml:space="preserve">The provider confirms that all services rendered are strictly professional and advisory in nature. The provider does not endorse, represent, or act as an agent of any political party. All work is performed in support of the Politician's individual legislative and electoral activities.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government-imposed restrictions, natural disasters, or public health emergencies affecting operations in Munich or the broader Germany Munich region.</w:t>
      </w:r>
    </w:p>
    <w:bookmarkEnd w:id="27"/>
    <w:bookmarkStart w:id="28" w:name="acceptance-and-authorization"/>
    <w:p>
      <w:pPr>
        <w:pStyle w:val="Heading3"/>
      </w:pPr>
      <w:r>
        <w:t xml:space="preserve">5. Acceptance and Authorization</w:t>
      </w:r>
    </w:p>
    <w:p>
      <w:pPr>
        <w:pStyle w:val="FirstParagraph"/>
      </w:pPr>
      <w:r>
        <w:t xml:space="preserve">By signing below, both parties acknowledge that this Quotation Estimate accurately reflects the agreed-upon scope of services, pricing, and terms. This document, once countersigned, shall serve as the foundational reference for the subsequent service agreement between the Politician and Bavaria Political Advisory Group GmbH for the duration of the engagement in Munich, Germany.</w:t>
      </w:r>
    </w:p>
    <w:bookmarkEnd w:id="28"/>
    <w:p>
      <w:pPr>
        <w:pStyle w:val="BodyText"/>
      </w:pPr>
      <w:r>
        <w:rPr>
          <w:bCs/>
          <w:b/>
        </w:rPr>
        <w:t xml:space="preserve">For the Politician (Client):</w:t>
      </w:r>
    </w:p>
    <w:p>
      <w:pPr>
        <w:pStyle w:val="BodyText"/>
      </w:pPr>
      <w:r>
        <w:t xml:space="preserve">Hon. Dr. Katharina Vogel</w:t>
      </w:r>
    </w:p>
    <w:p>
      <w:pPr>
        <w:pStyle w:val="BodyText"/>
      </w:pPr>
      <w:r>
        <w:t xml:space="preserve">Signature: ___________________________</w:t>
      </w:r>
    </w:p>
    <w:p>
      <w:pPr>
        <w:pStyle w:val="BodyText"/>
      </w:pPr>
      <w:r>
        <w:t xml:space="preserve">Name: Dr. Katharina Vogel</w:t>
      </w:r>
    </w:p>
    <w:p>
      <w:pPr>
        <w:pStyle w:val="BodyText"/>
      </w:pPr>
      <w:r>
        <w:t xml:space="preserve">Date: ___________________________</w:t>
      </w:r>
    </w:p>
    <w:p>
      <w:pPr>
        <w:pStyle w:val="BodyText"/>
      </w:pPr>
      <w:r>
        <w:rPr>
          <w:bCs/>
          <w:b/>
        </w:rPr>
        <w:t xml:space="preserve">For the Provider:</w:t>
      </w:r>
    </w:p>
    <w:p>
      <w:pPr>
        <w:pStyle w:val="BodyText"/>
      </w:pPr>
      <w:r>
        <w:t xml:space="preserve">Bavaria Political Advisory Group GmbH</w:t>
      </w:r>
    </w:p>
    <w:p>
      <w:pPr>
        <w:pStyle w:val="BodyText"/>
      </w:pPr>
      <w:r>
        <w:t xml:space="preserve">Signature: ___________________________</w:t>
      </w:r>
    </w:p>
    <w:p>
      <w:pPr>
        <w:pStyle w:val="BodyText"/>
      </w:pPr>
      <w:r>
        <w:t xml:space="preserve">Name: Prof. Dr. Heinrich Brandt, Managing Director</w:t>
      </w:r>
    </w:p>
    <w:p>
      <w:pPr>
        <w:pStyle w:val="BodyText"/>
      </w:pPr>
      <w:r>
        <w:t xml:space="preserve">Date: ___________________________</w:t>
      </w:r>
    </w:p>
    <w:p>
      <w:pPr>
        <w:pStyle w:val="BodyText"/>
      </w:pPr>
      <w:r>
        <w:t xml:space="preserve">Bavaria Political Advisory Group GmbH | Maximilianstraße 42, 80539 Munich, Germany | USt-IdNr: DE 123 456 789</w:t>
      </w:r>
    </w:p>
    <w:p>
      <w:pPr>
        <w:pStyle w:val="BodyText"/>
      </w:pPr>
      <w:r>
        <w:t xml:space="preserve">This Quotation Estimate was prepared exclusively for the named Politician and is not transferable. Document Ref: QTE-2025-MUC-0847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Consulting Services - Munich, Germany</dc:title>
  <dc:creator/>
  <dc:language>en</dc:language>
  <cp:keywords/>
  <dcterms:created xsi:type="dcterms:W3CDTF">2026-10-10T03:38:54Z</dcterms:created>
  <dcterms:modified xsi:type="dcterms:W3CDTF">2026-10-10T03:38:54Z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