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political-advisory-group"/>
    <w:p>
      <w:pPr>
        <w:pStyle w:val="Heading1"/>
      </w:pPr>
      <w:r>
        <w:t xml:space="preserve">PT Nusantara Political Advisory Group</w:t>
      </w:r>
    </w:p>
    <w:p>
      <w:pPr>
        <w:pStyle w:val="FirstParagraph"/>
      </w:pPr>
      <w:r>
        <w:t xml:space="preserve">Jl. Jend. Sudirman Kav. 52-53, Jakarta Selatan 12190, Indonesia Jakarta</w:t>
      </w:r>
    </w:p>
    <w:p>
      <w:pPr>
        <w:pStyle w:val="BodyText"/>
      </w:pPr>
      <w:r>
        <w:t xml:space="preserve">Tel: +62 21 5555 8900 | Email: quotation@nusantapag.co.id</w:t>
      </w:r>
    </w:p>
    <w:p>
      <w:pPr>
        <w:pStyle w:val="BodyText"/>
      </w:pPr>
      <w:r>
        <w:t xml:space="preserve">NPWP: 01.234.567.8-901.000 | Business License: 110/2024/JKT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QTE-2025-JKT-0472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Indonesian Rupiah (IDR)</w:t>
      </w:r>
    </w:p>
    <w:p>
      <w:pPr>
        <w:pStyle w:val="BodyText"/>
      </w:pPr>
      <w:r>
        <w:t xml:space="preserve">POLITICIAN SERVICES – INDONESIA JAKARTA</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Hon. Dr. Andi Wijaya, S.H., M.Si.</w:t>
      </w:r>
    </w:p>
    <w:p>
      <w:pPr>
        <w:pStyle w:val="BodyText"/>
      </w:pPr>
      <w:r>
        <w:rPr>
          <w:bCs/>
          <w:b/>
        </w:rPr>
        <w:t xml:space="preserve">Title:</w:t>
      </w:r>
      <w:r>
        <w:t xml:space="preserve"> </w:t>
      </w:r>
      <w:r>
        <w:t xml:space="preserve">Politician – District Councilor, South Jakarta</w:t>
      </w:r>
    </w:p>
    <w:p>
      <w:pPr>
        <w:pStyle w:val="BodyText"/>
      </w:pPr>
      <w:r>
        <w:rPr>
          <w:bCs/>
          <w:b/>
        </w:rPr>
        <w:t xml:space="preserve">Office:</w:t>
      </w:r>
      <w:r>
        <w:t xml:space="preserve"> </w:t>
      </w:r>
      <w:r>
        <w:t xml:space="preserve">DPRD DKI Jakarta, Gedung A, Lantai 3</w:t>
      </w:r>
    </w:p>
    <w:p>
      <w:pPr>
        <w:pStyle w:val="BodyText"/>
      </w:pPr>
      <w:r>
        <w:rPr>
          <w:bCs/>
          <w:b/>
        </w:rPr>
        <w:t xml:space="preserve">Address:</w:t>
      </w:r>
      <w:r>
        <w:t xml:space="preserve"> </w:t>
      </w:r>
      <w:r>
        <w:t xml:space="preserve">Jl. Gatot Subroto, Indonesia Jakarta</w:t>
      </w:r>
    </w:p>
    <w:p>
      <w:pPr>
        <w:pStyle w:val="BodyText"/>
      </w:pPr>
      <w:r>
        <w:rPr>
          <w:bCs/>
          <w:b/>
        </w:rPr>
        <w:t xml:space="preserve">Contact:</w:t>
      </w:r>
      <w:r>
        <w:t xml:space="preserve"> </w:t>
      </w:r>
      <w:r>
        <w:t xml:space="preserve">+62 812 3456 7890</w:t>
      </w:r>
    </w:p>
    <w:bookmarkEnd w:id="22"/>
    <w:p>
      <w:pPr>
        <w:pStyle w:val="BodyText"/>
      </w:pPr>
      <w:r>
        <w:t xml:space="preserve">Dear Hon. Dr. Andi Wijaya,</w:t>
      </w:r>
    </w:p>
    <w:p>
      <w:pPr>
        <w:pStyle w:val="BodyText"/>
      </w:pPr>
      <w:r>
        <w:t xml:space="preserve">Thank you for engaging PT Nusantara Political Advisory Group to support your political mandate and public service initiatives in Indonesia Jakarta. This Quotation Estimate outlines the comprehensive scope of professional services we propose to deliver on behalf of your office as a Politician representing the constituents of South Jakarta. All pricing is presented in Indonesian Rupiah and reflects our standard rates for political advisory, public relations, and campaign support services within the Indonesia Jakarta metropolitan area.</w:t>
      </w:r>
    </w:p>
    <w:p>
      <w:pPr>
        <w:pStyle w:val="BodyText"/>
      </w:pPr>
      <w:r>
        <w:t xml:space="preserve">Scope of Services &amp; Itemized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Strategic Political Advisory &amp; Policy Research for the Politician's legislative agenda in Indonesia Jakarta</w:t>
            </w:r>
          </w:p>
        </w:tc>
        <w:tc>
          <w:tcPr/>
          <w:p>
            <w:pPr>
              <w:pStyle w:val="Compact"/>
              <w:jc w:val="left"/>
            </w:pPr>
            <w:r>
              <w:t xml:space="preserve">12 months</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2</w:t>
            </w:r>
          </w:p>
        </w:tc>
        <w:tc>
          <w:tcPr/>
          <w:p>
            <w:pPr>
              <w:pStyle w:val="Compact"/>
              <w:jc w:val="left"/>
            </w:pPr>
            <w:r>
              <w:t xml:space="preserve">Public Relations &amp; Media Relations Management (press conferences, media briefings, op-ed placement)</w:t>
            </w:r>
          </w:p>
        </w:tc>
        <w:tc>
          <w:tcPr/>
          <w:p>
            <w:pPr>
              <w:pStyle w:val="Compact"/>
              <w:jc w:val="left"/>
            </w:pPr>
            <w:r>
              <w:t xml:space="preserve">12 months</w:t>
            </w:r>
          </w:p>
        </w:tc>
        <w:tc>
          <w:tcPr/>
          <w:p>
            <w:pPr>
              <w:pStyle w:val="Compact"/>
              <w:jc w:val="left"/>
            </w:pPr>
            <w:r>
              <w:t xml:space="preserve">35,000,000</w:t>
            </w:r>
          </w:p>
        </w:tc>
        <w:tc>
          <w:tcPr/>
          <w:p>
            <w:pPr>
              <w:pStyle w:val="Compact"/>
              <w:jc w:val="left"/>
            </w:pPr>
            <w:r>
              <w:t xml:space="preserve">420,000,000</w:t>
            </w:r>
          </w:p>
        </w:tc>
      </w:tr>
      <w:tr>
        <w:tc>
          <w:tcPr/>
          <w:p>
            <w:pPr>
              <w:pStyle w:val="Compact"/>
              <w:jc w:val="left"/>
            </w:pPr>
            <w:r>
              <w:t xml:space="preserve">3</w:t>
            </w:r>
          </w:p>
        </w:tc>
        <w:tc>
          <w:tcPr/>
          <w:p>
            <w:pPr>
              <w:pStyle w:val="Compact"/>
              <w:jc w:val="left"/>
            </w:pPr>
            <w:r>
              <w:t xml:space="preserve">Digital Campaign &amp; Social Media Management for the Politician's public engagement platform</w:t>
            </w:r>
          </w:p>
        </w:tc>
        <w:tc>
          <w:tcPr/>
          <w:p>
            <w:pPr>
              <w:pStyle w:val="Compact"/>
              <w:jc w:val="left"/>
            </w:pPr>
            <w:r>
              <w:t xml:space="preserve">12 months</w:t>
            </w:r>
          </w:p>
        </w:tc>
        <w:tc>
          <w:tcPr/>
          <w:p>
            <w:pPr>
              <w:pStyle w:val="Compact"/>
              <w:jc w:val="left"/>
            </w:pPr>
            <w:r>
              <w:t xml:space="preserve">28,000,000</w:t>
            </w:r>
          </w:p>
        </w:tc>
        <w:tc>
          <w:tcPr/>
          <w:p>
            <w:pPr>
              <w:pStyle w:val="Compact"/>
              <w:jc w:val="left"/>
            </w:pPr>
            <w:r>
              <w:t xml:space="preserve">336,000,000</w:t>
            </w:r>
          </w:p>
        </w:tc>
      </w:tr>
      <w:tr>
        <w:tc>
          <w:tcPr/>
          <w:p>
            <w:pPr>
              <w:pStyle w:val="Compact"/>
              <w:jc w:val="left"/>
            </w:pPr>
            <w:r>
              <w:t xml:space="preserve">4</w:t>
            </w:r>
          </w:p>
        </w:tc>
        <w:tc>
          <w:tcPr/>
          <w:p>
            <w:pPr>
              <w:pStyle w:val="Compact"/>
              <w:jc w:val="left"/>
            </w:pPr>
            <w:r>
              <w:t xml:space="preserve">Community Outreach &amp; Constituent Engagement Programs across 5 districts in Indonesia Jakarta</w:t>
            </w:r>
          </w:p>
        </w:tc>
        <w:tc>
          <w:tcPr/>
          <w:p>
            <w:pPr>
              <w:pStyle w:val="Compact"/>
              <w:jc w:val="left"/>
            </w:pPr>
            <w:r>
              <w:t xml:space="preserve">12 months</w:t>
            </w:r>
          </w:p>
        </w:tc>
        <w:tc>
          <w:tcPr/>
          <w:p>
            <w:pPr>
              <w:pStyle w:val="Compact"/>
              <w:jc w:val="left"/>
            </w:pPr>
            <w:r>
              <w:t xml:space="preserve">22,000,000</w:t>
            </w:r>
          </w:p>
        </w:tc>
        <w:tc>
          <w:tcPr/>
          <w:p>
            <w:pPr>
              <w:pStyle w:val="Compact"/>
              <w:jc w:val="left"/>
            </w:pPr>
            <w:r>
              <w:t xml:space="preserve">264,000,000</w:t>
            </w:r>
          </w:p>
        </w:tc>
      </w:tr>
      <w:tr>
        <w:tc>
          <w:tcPr/>
          <w:p>
            <w:pPr>
              <w:pStyle w:val="Compact"/>
              <w:jc w:val="left"/>
            </w:pPr>
            <w:r>
              <w:t xml:space="preserve">5</w:t>
            </w:r>
          </w:p>
        </w:tc>
        <w:tc>
          <w:tcPr/>
          <w:p>
            <w:pPr>
              <w:pStyle w:val="Compact"/>
              <w:jc w:val="left"/>
            </w:pPr>
            <w:r>
              <w:t xml:space="preserve">Event Planning &amp; Execution (town halls, policy forums, public consultations) – 24 events</w:t>
            </w:r>
          </w:p>
        </w:tc>
        <w:tc>
          <w:tcPr/>
          <w:p>
            <w:pPr>
              <w:pStyle w:val="Compact"/>
              <w:jc w:val="left"/>
            </w:pPr>
            <w:r>
              <w:t xml:space="preserve">24 events</w:t>
            </w:r>
          </w:p>
        </w:tc>
        <w:tc>
          <w:tcPr/>
          <w:p>
            <w:pPr>
              <w:pStyle w:val="Compact"/>
              <w:jc w:val="left"/>
            </w:pPr>
            <w:r>
              <w:t xml:space="preserve">18,000,000</w:t>
            </w:r>
          </w:p>
        </w:tc>
        <w:tc>
          <w:tcPr/>
          <w:p>
            <w:pPr>
              <w:pStyle w:val="Compact"/>
              <w:jc w:val="left"/>
            </w:pPr>
            <w:r>
              <w:t xml:space="preserve">432,000,000</w:t>
            </w:r>
          </w:p>
        </w:tc>
      </w:tr>
      <w:tr>
        <w:tc>
          <w:tcPr/>
          <w:p>
            <w:pPr>
              <w:pStyle w:val="Compact"/>
              <w:jc w:val="left"/>
            </w:pPr>
            <w:r>
              <w:t xml:space="preserve">6</w:t>
            </w:r>
          </w:p>
        </w:tc>
        <w:tc>
          <w:tcPr/>
          <w:p>
            <w:pPr>
              <w:pStyle w:val="Compact"/>
              <w:jc w:val="left"/>
            </w:pPr>
            <w:r>
              <w:t xml:space="preserve">Speechwriting, Policy Brief Development &amp; Legislative Drafting Support</w:t>
            </w:r>
          </w:p>
        </w:tc>
        <w:tc>
          <w:tcPr/>
          <w:p>
            <w:pPr>
              <w:pStyle w:val="Compact"/>
              <w:jc w:val="left"/>
            </w:pPr>
            <w:r>
              <w:t xml:space="preserve">12 months</w:t>
            </w:r>
          </w:p>
        </w:tc>
        <w:tc>
          <w:tcPr/>
          <w:p>
            <w:pPr>
              <w:pStyle w:val="Compact"/>
              <w:jc w:val="left"/>
            </w:pPr>
            <w:r>
              <w:t xml:space="preserve">20,000,000</w:t>
            </w:r>
          </w:p>
        </w:tc>
        <w:tc>
          <w:tcPr/>
          <w:p>
            <w:pPr>
              <w:pStyle w:val="Compact"/>
              <w:jc w:val="left"/>
            </w:pPr>
            <w:r>
              <w:t xml:space="preserve">240,000,000</w:t>
            </w:r>
          </w:p>
        </w:tc>
      </w:tr>
      <w:tr>
        <w:tc>
          <w:tcPr/>
          <w:p>
            <w:pPr>
              <w:pStyle w:val="Compact"/>
              <w:jc w:val="left"/>
            </w:pPr>
            <w:r>
              <w:t xml:space="preserve">7</w:t>
            </w:r>
          </w:p>
        </w:tc>
        <w:tc>
          <w:tcPr/>
          <w:p>
            <w:pPr>
              <w:pStyle w:val="Compact"/>
              <w:jc w:val="left"/>
            </w:pPr>
            <w:r>
              <w:t xml:space="preserve">Political Risk Assessment &amp; Crisis Communication Protocol for the Politician's office</w:t>
            </w:r>
          </w:p>
        </w:tc>
        <w:tc>
          <w:tcPr/>
          <w:p>
            <w:pPr>
              <w:pStyle w:val="Compact"/>
              <w:jc w:val="left"/>
            </w:pPr>
            <w:r>
              <w:t xml:space="preserve">12 months</w:t>
            </w:r>
          </w:p>
        </w:tc>
        <w:tc>
          <w:tcPr/>
          <w:p>
            <w:pPr>
              <w:pStyle w:val="Compact"/>
              <w:jc w:val="left"/>
            </w:pPr>
            <w:r>
              <w:t xml:space="preserve">15,000,000</w:t>
            </w:r>
          </w:p>
        </w:tc>
        <w:tc>
          <w:tcPr/>
          <w:p>
            <w:pPr>
              <w:pStyle w:val="Compact"/>
              <w:jc w:val="left"/>
            </w:pPr>
            <w:r>
              <w:t xml:space="preserve">180,000,000</w:t>
            </w:r>
          </w:p>
        </w:tc>
      </w:tr>
      <w:tr>
        <w:tc>
          <w:tcPr/>
          <w:p>
            <w:pPr>
              <w:pStyle w:val="Compact"/>
              <w:jc w:val="left"/>
            </w:pPr>
            <w:r>
              <w:t xml:space="preserve">8</w:t>
            </w:r>
          </w:p>
        </w:tc>
        <w:tc>
          <w:tcPr/>
          <w:p>
            <w:pPr>
              <w:pStyle w:val="Compact"/>
              <w:jc w:val="left"/>
            </w:pPr>
            <w:r>
              <w:t xml:space="preserve">Stakeholder Mapping &amp; Inter-Party Liaison Coordination within Indonesia Jakarta political landscape</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144,000,000</w:t>
            </w:r>
          </w:p>
        </w:tc>
      </w:tr>
      <w:tr>
        <w:tc>
          <w:tcPr>
            <w:gridSpan w:val="4"/>
          </w:tcPr>
          <w:p>
            <w:pPr>
              <w:pStyle w:val="Compact"/>
              <w:jc w:val="right"/>
            </w:pPr>
            <w:r>
              <w:t xml:space="preserve">TOTAL QUOTATION ESTIMATE</w:t>
            </w:r>
          </w:p>
        </w:tc>
        <w:tc>
          <w:tcPr/>
          <w:p>
            <w:pPr>
              <w:pStyle w:val="Compact"/>
              <w:jc w:val="left"/>
            </w:pPr>
            <w:r>
              <w:t xml:space="preserve">IDR 2,556,000,000</w:t>
            </w:r>
          </w:p>
        </w:tc>
      </w:tr>
    </w:tbl>
    <w:p>
      <w:pPr>
        <w:pStyle w:val="BodyText"/>
      </w:pPr>
      <w:r>
        <w:t xml:space="preserve">* All prices are exclusive of 11% VAT (Pajak Pertambahan Nilai). Total including VAT: IDR 2,837,160,000.</w:t>
      </w:r>
    </w:p>
    <w:p>
      <w:pPr>
        <w:pStyle w:val="BodyText"/>
      </w:pPr>
      <w:r>
        <w:t xml:space="preserve">Terms &amp; Conditions of This Quotation Estimate</w:t>
      </w:r>
    </w:p>
    <w:p>
      <w:pPr>
        <w:numPr>
          <w:ilvl w:val="0"/>
          <w:numId w:val="1001"/>
        </w:numPr>
        <w:pStyle w:val="Compact"/>
      </w:pPr>
      <w:r>
        <w:t xml:space="preserve">This Quotation Estimate is valid for thirty (30) calendar days from the date of issuance. Beyond this period, pricing may be subject to revision based on market conditions in Indonesia Jakarta.</w:t>
      </w:r>
    </w:p>
    <w:p>
      <w:pPr>
        <w:numPr>
          <w:ilvl w:val="0"/>
          <w:numId w:val="1001"/>
        </w:numPr>
        <w:pStyle w:val="Compact"/>
      </w:pPr>
      <w:r>
        <w:t xml:space="preserve">Payment shall be made in monthly installments of IDR 236,000,000 (inclusive of VAT), due on the 5th business day of each month, via bank transfer to the account specified in the attached invoice.</w:t>
      </w:r>
    </w:p>
    <w:p>
      <w:pPr>
        <w:numPr>
          <w:ilvl w:val="0"/>
          <w:numId w:val="1001"/>
        </w:numPr>
        <w:pStyle w:val="Compact"/>
      </w:pPr>
      <w:r>
        <w:t xml:space="preserve">A 20% mobilization fee (IDR 511,200,000) is due upon signed acceptance of this Quotation Estimate and prior to commencement of services.</w:t>
      </w:r>
    </w:p>
    <w:p>
      <w:pPr>
        <w:numPr>
          <w:ilvl w:val="0"/>
          <w:numId w:val="1001"/>
        </w:numPr>
        <w:pStyle w:val="Compact"/>
      </w:pPr>
      <w:r>
        <w:t xml:space="preserve">All services are to be performed in accordance with the Political Funding Law (UU No. 7 Tahun 2017) and applicable regulations governing Politician activities in Indonesia Jakarta.</w:t>
      </w:r>
    </w:p>
    <w:p>
      <w:pPr>
        <w:numPr>
          <w:ilvl w:val="0"/>
          <w:numId w:val="1001"/>
        </w:numPr>
        <w:pStyle w:val="Compact"/>
      </w:pPr>
      <w:r>
        <w:t xml:space="preserve">PT Nusantara Political Advisory Group shall maintain strict confidentiality regarding all strategic political communications, policy drafts, and internal deliberations of the Politician's office.</w:t>
      </w:r>
    </w:p>
    <w:p>
      <w:pPr>
        <w:numPr>
          <w:ilvl w:val="0"/>
          <w:numId w:val="1001"/>
        </w:numPr>
        <w:pStyle w:val="Compact"/>
      </w:pPr>
      <w:r>
        <w:t xml:space="preserve">Any additional services beyond the scope outlined in this Quotation Estimate shall be subject to a separate written amendment and mutual agreement.</w:t>
      </w:r>
    </w:p>
    <w:p>
      <w:pPr>
        <w:numPr>
          <w:ilvl w:val="0"/>
          <w:numId w:val="1001"/>
        </w:numPr>
        <w:pStyle w:val="Compact"/>
      </w:pPr>
      <w:r>
        <w:t xml:space="preserve">Termination of this engagement may be initiated by either party with a thirty (30) day written notice. In such case, all services rendered up to the termination date shall be invoiced in full.</w:t>
      </w:r>
    </w:p>
    <w:p>
      <w:pPr>
        <w:numPr>
          <w:ilvl w:val="0"/>
          <w:numId w:val="1001"/>
        </w:numPr>
        <w:pStyle w:val="Compact"/>
      </w:pPr>
      <w:r>
        <w:t xml:space="preserve">All deliverables, including research reports, media assets, and event documentation, shall be the intellectual property of the Politician's office upon full payment.</w:t>
      </w:r>
    </w:p>
    <w:p>
      <w:pPr>
        <w:numPr>
          <w:ilvl w:val="0"/>
          <w:numId w:val="1001"/>
        </w:numPr>
        <w:pStyle w:val="Compact"/>
      </w:pPr>
      <w:r>
        <w:t xml:space="preserve">This Quotation Estimate is governed by the laws of the Republic of Indonesia, and any disputes shall be resolved through the Jakarta District Court (Pengadilan Negeri Jakarta Selatan).</w:t>
      </w:r>
    </w:p>
    <w:p>
      <w:pPr>
        <w:pStyle w:val="FirstParagraph"/>
      </w:pPr>
      <w:r>
        <w:t xml:space="preserve">Acceptance &amp; Authorization</w:t>
      </w:r>
    </w:p>
    <w:p>
      <w:pPr>
        <w:pStyle w:val="BodyText"/>
      </w:pPr>
      <w:r>
        <w:t xml:space="preserve">By signing below, both parties acknowledge and agree to the terms, scope, and pricing outlined in this Quotation Estimate for Politician services in Indonesia Jakarta.</w:t>
      </w:r>
    </w:p>
    <w:p>
      <w:pPr>
        <w:pStyle w:val="BodyText"/>
      </w:pPr>
      <w:r>
        <w:t xml:space="preserve">For PT Nusantara Political Advisory Group</w:t>
      </w:r>
    </w:p>
    <w:p>
      <w:pPr>
        <w:pStyle w:val="BodyText"/>
      </w:pPr>
      <w:r>
        <w:rPr>
          <w:bCs/>
          <w:b/>
        </w:rPr>
        <w:t xml:space="preserve">Ir. Bambang Sutrisno, M.M.</w:t>
      </w:r>
      <w:r>
        <w:br/>
      </w:r>
      <w:r>
        <w:t xml:space="preserve">Director &amp; Principal Consultant</w:t>
      </w:r>
      <w:r>
        <w:br/>
      </w:r>
      <w:r>
        <w:t xml:space="preserve">Date: _______________</w:t>
      </w:r>
    </w:p>
    <w:p>
      <w:pPr>
        <w:pStyle w:val="BodyText"/>
      </w:pPr>
      <w:r>
        <w:t xml:space="preserve">For the Politician's Office (Client)</w:t>
      </w:r>
    </w:p>
    <w:p>
      <w:pPr>
        <w:pStyle w:val="BodyText"/>
      </w:pPr>
      <w:r>
        <w:rPr>
          <w:bCs/>
          <w:b/>
        </w:rPr>
        <w:t xml:space="preserve">Hon. Dr. Andi Wijaya, S.H., M.Si.</w:t>
      </w:r>
      <w:r>
        <w:br/>
      </w:r>
      <w:r>
        <w:t xml:space="preserve">District Councilor, South Jakarta</w:t>
      </w:r>
      <w:r>
        <w:br/>
      </w:r>
      <w:r>
        <w:t xml:space="preserve">Date: _______________</w:t>
      </w:r>
    </w:p>
    <w:p>
      <w:pPr>
        <w:pStyle w:val="BodyText"/>
      </w:pPr>
      <w:r>
        <w:t xml:space="preserve">PT Nusantara Political Advisory Group | Quotation Estimate No. QTE-2025-JKT-0472 | Indonesia Jakarta</w:t>
      </w:r>
    </w:p>
    <w:p>
      <w:pPr>
        <w:pStyle w:val="BodyText"/>
      </w:pPr>
      <w:r>
        <w:t xml:space="preserve">This document is a formal Quotation Estimate and does not constitute a binding contract until countersigned by both parties.</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Indonesia Jakarta</dc:title>
  <dc:creator/>
  <dc:language>en</dc:language>
  <cp:keywords/>
  <dcterms:created xsi:type="dcterms:W3CDTF">2026-10-10T02:06:26Z</dcterms:created>
  <dcterms:modified xsi:type="dcterms:W3CDTF">2026-10-10T02:06:26Z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