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Political Advisory &amp; Strategic Consulting Services</w:t>
      </w:r>
    </w:p>
    <w:p>
      <w:pPr>
        <w:pStyle w:val="BodyText"/>
      </w:pPr>
      <w:r>
        <w:t xml:space="preserve">Prepared for Political Engagement in Iran Tehran</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QTE-IRN-2025-04782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By:</w:t>
            </w:r>
          </w:p>
        </w:tc>
        <w:tc>
          <w:tcPr/>
          <w:p>
            <w:pPr>
              <w:pStyle w:val="Compact"/>
              <w:jc w:val="left"/>
            </w:pPr>
            <w:r>
              <w:t xml:space="preserve">Meridian Political Strategy Group, LLC</w:t>
            </w:r>
          </w:p>
        </w:tc>
        <w:tc>
          <w:tcPr/>
          <w:p>
            <w:pPr>
              <w:pStyle w:val="Compact"/>
              <w:jc w:val="left"/>
            </w:pPr>
            <w:r>
              <w:t xml:space="preserve">Location of Service:</w:t>
            </w:r>
          </w:p>
        </w:tc>
        <w:tc>
          <w:tcPr/>
          <w:p>
            <w:pPr>
              <w:pStyle w:val="Compact"/>
              <w:jc w:val="left"/>
            </w:pPr>
            <w:r>
              <w:t xml:space="preserve">Tehran, Iran</w:t>
            </w:r>
          </w:p>
        </w:tc>
      </w:tr>
      <w:tr>
        <w:tc>
          <w:tcPr/>
          <w:p>
            <w:pPr>
              <w:pStyle w:val="Compact"/>
              <w:jc w:val="left"/>
            </w:pPr>
            <w:r>
              <w:t xml:space="preserve">Client / Beneficiary:</w:t>
            </w:r>
          </w:p>
        </w:tc>
        <w:tc>
          <w:tcPr/>
          <w:p>
            <w:pPr>
              <w:pStyle w:val="Compact"/>
              <w:jc w:val="left"/>
            </w:pPr>
            <w:r>
              <w:t xml:space="preserve">Honorable Politician – Municipal &amp; Provincial Council, Tehran</w:t>
            </w:r>
          </w:p>
        </w:tc>
        <w:tc>
          <w:tcPr/>
          <w:p>
            <w:pPr>
              <w:pStyle w:val="Compact"/>
              <w:jc w:val="left"/>
            </w:pPr>
            <w:r>
              <w:t xml:space="preserve">Reference:</w:t>
            </w:r>
          </w:p>
        </w:tc>
        <w:tc>
          <w:tcPr/>
          <w:p>
            <w:pPr>
              <w:pStyle w:val="Compact"/>
              <w:jc w:val="left"/>
            </w:pPr>
            <w:r>
              <w:t xml:space="preserve">Engagement Ref: POL-TEH-2025-114</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Meridian Political Strategy Group, LLC, to provide a comprehensive and itemized financial projection for the full suite of professional advisory, strategic planning, and operational support services to be rendered to a</w:t>
      </w:r>
      <w:r>
        <w:t xml:space="preserve"> </w:t>
      </w:r>
      <w:r>
        <w:t xml:space="preserve">Politician</w:t>
      </w:r>
      <w:r>
        <w:t xml:space="preserve"> </w:t>
      </w:r>
      <w:r>
        <w:t xml:space="preserve">serving in a public capacity within the metropolitan and provincial governance structures of</w:t>
      </w:r>
      <w:r>
        <w:t xml:space="preserve"> </w:t>
      </w:r>
      <w:r>
        <w:t xml:space="preserve">Iran Tehran</w:t>
      </w:r>
      <w:r>
        <w:t xml:space="preserve">. The scope of this engagement encompasses policy development assistance, constituent engagement strategy, legislative drafting support, public communications management, and inter-institutional coordination facilitation. All services described herein are tailored specifically to the regulatory, cultural, and administrative environment of Tehran, the capital city of the Islamic Republic of Iran, and are designed to support the Politician in fulfilling their constitutional and civic duties with the highest degree of professionalism and effectiveness.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Strategic Policy Advisory for the Politician – Municipal Governance, Tehran</w:t>
            </w:r>
          </w:p>
        </w:tc>
        <w:tc>
          <w:tcPr/>
          <w:p>
            <w:pPr>
              <w:pStyle w:val="Compact"/>
              <w:jc w:val="left"/>
            </w:pPr>
            <w:r>
              <w:t xml:space="preserve">12 months (ongoing)</w:t>
            </w:r>
          </w:p>
        </w:tc>
        <w:tc>
          <w:tcPr/>
          <w:p>
            <w:pPr>
              <w:pStyle w:val="Compact"/>
              <w:jc w:val="left"/>
            </w:pPr>
            <w:r>
              <w:t xml:space="preserve">$4,500 / month</w:t>
            </w:r>
          </w:p>
        </w:tc>
        <w:tc>
          <w:tcPr/>
          <w:p>
            <w:pPr>
              <w:pStyle w:val="Compact"/>
              <w:jc w:val="left"/>
            </w:pPr>
            <w:r>
              <w:t xml:space="preserve">$54,000</w:t>
            </w:r>
          </w:p>
        </w:tc>
        <w:tc>
          <w:tcPr/>
          <w:p>
            <w:pPr>
              <w:pStyle w:val="Compact"/>
              <w:jc w:val="left"/>
            </w:pPr>
            <w:r>
              <w:t xml:space="preserve">Includes weekly strategy sessions</w:t>
            </w:r>
          </w:p>
        </w:tc>
      </w:tr>
      <w:tr>
        <w:tc>
          <w:tcPr/>
          <w:p>
            <w:pPr>
              <w:pStyle w:val="Compact"/>
              <w:jc w:val="left"/>
            </w:pPr>
            <w:r>
              <w:t xml:space="preserve">2</w:t>
            </w:r>
          </w:p>
        </w:tc>
        <w:tc>
          <w:tcPr/>
          <w:p>
            <w:pPr>
              <w:pStyle w:val="Compact"/>
              <w:jc w:val="left"/>
            </w:pPr>
            <w:r>
              <w:t xml:space="preserve">Legislative Drafting &amp; Regulatory Compliance Review (Iranian Municipal Law)</w:t>
            </w:r>
          </w:p>
        </w:tc>
        <w:tc>
          <w:tcPr/>
          <w:p>
            <w:pPr>
              <w:pStyle w:val="Compact"/>
              <w:jc w:val="left"/>
            </w:pPr>
            <w:r>
              <w:t xml:space="preserve">Per project (est. 8 projects)</w:t>
            </w:r>
          </w:p>
        </w:tc>
        <w:tc>
          <w:tcPr/>
          <w:p>
            <w:pPr>
              <w:pStyle w:val="Compact"/>
              <w:jc w:val="left"/>
            </w:pPr>
            <w:r>
              <w:t xml:space="preserve">$3,200 / project</w:t>
            </w:r>
          </w:p>
        </w:tc>
        <w:tc>
          <w:tcPr/>
          <w:p>
            <w:pPr>
              <w:pStyle w:val="Compact"/>
              <w:jc w:val="left"/>
            </w:pPr>
            <w:r>
              <w:t xml:space="preserve">$25,600</w:t>
            </w:r>
          </w:p>
        </w:tc>
        <w:tc>
          <w:tcPr/>
          <w:p>
            <w:pPr>
              <w:pStyle w:val="Compact"/>
              <w:jc w:val="left"/>
            </w:pPr>
            <w:r>
              <w:t xml:space="preserve">Bilingual documentation (EN/FA)</w:t>
            </w:r>
          </w:p>
        </w:tc>
      </w:tr>
      <w:tr>
        <w:tc>
          <w:tcPr/>
          <w:p>
            <w:pPr>
              <w:pStyle w:val="Compact"/>
              <w:jc w:val="left"/>
            </w:pPr>
            <w:r>
              <w:t xml:space="preserve">3</w:t>
            </w:r>
          </w:p>
        </w:tc>
        <w:tc>
          <w:tcPr/>
          <w:p>
            <w:pPr>
              <w:pStyle w:val="Compact"/>
              <w:jc w:val="left"/>
            </w:pPr>
            <w:r>
              <w:t xml:space="preserve">Constituent Engagement &amp; Public Forum Coordination in Tehran Districts</w:t>
            </w:r>
          </w:p>
        </w:tc>
        <w:tc>
          <w:tcPr/>
          <w:p>
            <w:pPr>
              <w:pStyle w:val="Compact"/>
              <w:jc w:val="left"/>
            </w:pPr>
            <w:r>
              <w:t xml:space="preserve">Quarterly (4 events)</w:t>
            </w:r>
          </w:p>
        </w:tc>
        <w:tc>
          <w:tcPr/>
          <w:p>
            <w:pPr>
              <w:pStyle w:val="Compact"/>
              <w:jc w:val="left"/>
            </w:pPr>
            <w:r>
              <w:t xml:space="preserve">$6,800 / event</w:t>
            </w:r>
          </w:p>
        </w:tc>
        <w:tc>
          <w:tcPr/>
          <w:p>
            <w:pPr>
              <w:pStyle w:val="Compact"/>
              <w:jc w:val="left"/>
            </w:pPr>
            <w:r>
              <w:t xml:space="preserve">$27,200</w:t>
            </w:r>
          </w:p>
        </w:tc>
        <w:tc>
          <w:tcPr/>
          <w:p>
            <w:pPr>
              <w:pStyle w:val="Compact"/>
              <w:jc w:val="left"/>
            </w:pPr>
            <w:r>
              <w:t xml:space="preserve">Logistics, translation, venue</w:t>
            </w:r>
          </w:p>
        </w:tc>
      </w:tr>
      <w:tr>
        <w:tc>
          <w:tcPr/>
          <w:p>
            <w:pPr>
              <w:pStyle w:val="Compact"/>
              <w:jc w:val="left"/>
            </w:pPr>
            <w:r>
              <w:t xml:space="preserve">4</w:t>
            </w:r>
          </w:p>
        </w:tc>
        <w:tc>
          <w:tcPr/>
          <w:p>
            <w:pPr>
              <w:pStyle w:val="Compact"/>
              <w:jc w:val="left"/>
            </w:pPr>
            <w:r>
              <w:t xml:space="preserve">Public Communications &amp; Media Relations Management for the Politician</w:t>
            </w:r>
          </w:p>
        </w:tc>
        <w:tc>
          <w:tcPr/>
          <w:p>
            <w:pPr>
              <w:pStyle w:val="Compact"/>
              <w:jc w:val="left"/>
            </w:pPr>
            <w:r>
              <w:t xml:space="preserve">12 months (ongoing)</w:t>
            </w:r>
          </w:p>
        </w:tc>
        <w:tc>
          <w:tcPr/>
          <w:p>
            <w:pPr>
              <w:pStyle w:val="Compact"/>
              <w:jc w:val="left"/>
            </w:pPr>
            <w:r>
              <w:t xml:space="preserve">$3,800 / month</w:t>
            </w:r>
          </w:p>
        </w:tc>
        <w:tc>
          <w:tcPr/>
          <w:p>
            <w:pPr>
              <w:pStyle w:val="Compact"/>
              <w:jc w:val="left"/>
            </w:pPr>
            <w:r>
              <w:t xml:space="preserve">$45,600</w:t>
            </w:r>
          </w:p>
        </w:tc>
        <w:tc>
          <w:tcPr/>
          <w:p>
            <w:pPr>
              <w:pStyle w:val="Compact"/>
              <w:jc w:val="left"/>
            </w:pPr>
            <w:r>
              <w:t xml:space="preserve">Press releases, social media, TV</w:t>
            </w:r>
          </w:p>
        </w:tc>
      </w:tr>
      <w:tr>
        <w:tc>
          <w:tcPr/>
          <w:p>
            <w:pPr>
              <w:pStyle w:val="Compact"/>
              <w:jc w:val="left"/>
            </w:pPr>
            <w:r>
              <w:t xml:space="preserve">5</w:t>
            </w:r>
          </w:p>
        </w:tc>
        <w:tc>
          <w:tcPr/>
          <w:p>
            <w:pPr>
              <w:pStyle w:val="Compact"/>
              <w:jc w:val="left"/>
            </w:pPr>
            <w:r>
              <w:t xml:space="preserve">Inter-Institutional Liaison &amp; Diplomatic Coordination (Tehran Provincial Assembly)</w:t>
            </w:r>
          </w:p>
        </w:tc>
        <w:tc>
          <w:tcPr/>
          <w:p>
            <w:pPr>
              <w:pStyle w:val="Compact"/>
              <w:jc w:val="left"/>
            </w:pPr>
            <w:r>
              <w:t xml:space="preserve">12 months (ongoing)</w:t>
            </w:r>
          </w:p>
        </w:tc>
        <w:tc>
          <w:tcPr/>
          <w:p>
            <w:pPr>
              <w:pStyle w:val="Compact"/>
              <w:jc w:val="left"/>
            </w:pPr>
            <w:r>
              <w:t xml:space="preserve">$2,900 / month</w:t>
            </w:r>
          </w:p>
        </w:tc>
        <w:tc>
          <w:tcPr/>
          <w:p>
            <w:pPr>
              <w:pStyle w:val="Compact"/>
              <w:jc w:val="left"/>
            </w:pPr>
            <w:r>
              <w:t xml:space="preserve">$34,800</w:t>
            </w:r>
          </w:p>
        </w:tc>
        <w:tc>
          <w:tcPr/>
          <w:p>
            <w:pPr>
              <w:pStyle w:val="Compact"/>
              <w:jc w:val="left"/>
            </w:pPr>
            <w:r>
              <w:t xml:space="preserve">Coordination with 12+ agencies</w:t>
            </w:r>
          </w:p>
        </w:tc>
      </w:tr>
      <w:tr>
        <w:tc>
          <w:tcPr/>
          <w:p>
            <w:pPr>
              <w:pStyle w:val="Compact"/>
              <w:jc w:val="left"/>
            </w:pPr>
            <w:r>
              <w:t xml:space="preserve">6</w:t>
            </w:r>
          </w:p>
        </w:tc>
        <w:tc>
          <w:tcPr/>
          <w:p>
            <w:pPr>
              <w:pStyle w:val="Compact"/>
              <w:jc w:val="left"/>
            </w:pPr>
            <w:r>
              <w:t xml:space="preserve">Data Analytics &amp; Public Opinion Research (Tehran Metropolitan Area)</w:t>
            </w:r>
          </w:p>
        </w:tc>
        <w:tc>
          <w:tcPr/>
          <w:p>
            <w:pPr>
              <w:pStyle w:val="Compact"/>
              <w:jc w:val="left"/>
            </w:pPr>
            <w:r>
              <w:t xml:space="preserve">Bi-annual (2 cycles)</w:t>
            </w:r>
          </w:p>
        </w:tc>
        <w:tc>
          <w:tcPr/>
          <w:p>
            <w:pPr>
              <w:pStyle w:val="Compact"/>
              <w:jc w:val="left"/>
            </w:pPr>
            <w:r>
              <w:t xml:space="preserve">$12,500 / cycle</w:t>
            </w:r>
          </w:p>
        </w:tc>
        <w:tc>
          <w:tcPr/>
          <w:p>
            <w:pPr>
              <w:pStyle w:val="Compact"/>
              <w:jc w:val="left"/>
            </w:pPr>
            <w:r>
              <w:t xml:space="preserve">$25,000</w:t>
            </w:r>
          </w:p>
        </w:tc>
        <w:tc>
          <w:tcPr/>
          <w:p>
            <w:pPr>
              <w:pStyle w:val="Compact"/>
              <w:jc w:val="left"/>
            </w:pPr>
            <w:r>
              <w:t xml:space="preserve">Sample size: 5,000+ respondents</w:t>
            </w:r>
          </w:p>
        </w:tc>
      </w:tr>
      <w:tr>
        <w:tc>
          <w:tcPr/>
          <w:p>
            <w:pPr>
              <w:pStyle w:val="Compact"/>
              <w:jc w:val="left"/>
            </w:pPr>
            <w:r>
              <w:t xml:space="preserve">7</w:t>
            </w:r>
          </w:p>
        </w:tc>
        <w:tc>
          <w:tcPr/>
          <w:p>
            <w:pPr>
              <w:pStyle w:val="Compact"/>
              <w:jc w:val="left"/>
            </w:pPr>
            <w:r>
              <w:t xml:space="preserve">Emergency Crisis Communication Protocol Development</w:t>
            </w:r>
          </w:p>
        </w:tc>
        <w:tc>
          <w:tcPr/>
          <w:p>
            <w:pPr>
              <w:pStyle w:val="Compact"/>
              <w:jc w:val="left"/>
            </w:pPr>
            <w:r>
              <w:t xml:space="preserve">One-time deliverable</w:t>
            </w:r>
          </w:p>
        </w:tc>
        <w:tc>
          <w:tcPr/>
          <w:p>
            <w:pPr>
              <w:pStyle w:val="Compact"/>
              <w:jc w:val="left"/>
            </w:pPr>
            <w:r>
              <w:t xml:space="preserve">$8,500</w:t>
            </w:r>
          </w:p>
        </w:tc>
        <w:tc>
          <w:tcPr/>
          <w:p>
            <w:pPr>
              <w:pStyle w:val="Compact"/>
              <w:jc w:val="left"/>
            </w:pPr>
            <w:r>
              <w:t xml:space="preserve">$8,500</w:t>
            </w:r>
          </w:p>
        </w:tc>
        <w:tc>
          <w:tcPr/>
          <w:p>
            <w:pPr>
              <w:pStyle w:val="Compact"/>
              <w:jc w:val="left"/>
            </w:pPr>
            <w:r>
              <w:t xml:space="preserve">Includes training workshop</w:t>
            </w:r>
          </w:p>
        </w:tc>
      </w:tr>
      <w:tr>
        <w:tc>
          <w:tcPr/>
          <w:p>
            <w:pPr>
              <w:pStyle w:val="Compact"/>
              <w:jc w:val="left"/>
            </w:pPr>
            <w:r>
              <w:t xml:space="preserve">8</w:t>
            </w:r>
          </w:p>
        </w:tc>
        <w:tc>
          <w:tcPr/>
          <w:p>
            <w:pPr>
              <w:pStyle w:val="Compact"/>
              <w:jc w:val="left"/>
            </w:pPr>
            <w:r>
              <w:t xml:space="preserve">Administrative &amp; Office Support Services (Tehran-based team of 4)</w:t>
            </w:r>
          </w:p>
        </w:tc>
        <w:tc>
          <w:tcPr/>
          <w:p>
            <w:pPr>
              <w:pStyle w:val="Compact"/>
              <w:jc w:val="left"/>
            </w:pPr>
            <w:r>
              <w:t xml:space="preserve">12 months (ongoing)</w:t>
            </w:r>
          </w:p>
        </w:tc>
        <w:tc>
          <w:tcPr/>
          <w:p>
            <w:pPr>
              <w:pStyle w:val="Compact"/>
              <w:jc w:val="left"/>
            </w:pPr>
            <w:r>
              <w:t xml:space="preserve">$5,200 / month</w:t>
            </w:r>
          </w:p>
        </w:tc>
        <w:tc>
          <w:tcPr/>
          <w:p>
            <w:pPr>
              <w:pStyle w:val="Compact"/>
              <w:jc w:val="left"/>
            </w:pPr>
            <w:r>
              <w:t xml:space="preserve">$62,400</w:t>
            </w:r>
          </w:p>
        </w:tc>
        <w:tc>
          <w:tcPr/>
          <w:p>
            <w:pPr>
              <w:pStyle w:val="Compact"/>
              <w:jc w:val="left"/>
            </w:pPr>
            <w:r>
              <w:t xml:space="preserve">Based in Tehran, 5-day week</w:t>
            </w:r>
          </w:p>
        </w:tc>
      </w:tr>
      <w:tr>
        <w:tc>
          <w:tcPr>
            <w:gridSpan w:val="4"/>
          </w:tcPr>
          <w:p>
            <w:pPr>
              <w:pStyle w:val="Compact"/>
              <w:jc w:val="left"/>
            </w:pPr>
            <w:r>
              <w:t xml:space="preserve">SUBTOTAL</w:t>
            </w:r>
          </w:p>
        </w:tc>
        <w:tc>
          <w:tcPr/>
          <w:p>
            <w:pPr>
              <w:pStyle w:val="Compact"/>
              <w:jc w:val="left"/>
            </w:pPr>
            <w:r>
              <w:t xml:space="preserve">$283,100</w:t>
            </w:r>
          </w:p>
        </w:tc>
        <w:tc>
          <w:tcPr/>
          <w:p>
            <w:pPr>
              <w:pStyle w:val="Compact"/>
            </w:pPr>
          </w:p>
        </w:tc>
      </w:tr>
      <w:tr>
        <w:tc>
          <w:tcPr>
            <w:gridSpan w:val="4"/>
          </w:tcPr>
          <w:p>
            <w:pPr>
              <w:pStyle w:val="Compact"/>
              <w:jc w:val="left"/>
            </w:pPr>
            <w:r>
              <w:t xml:space="preserve">Applicable Taxes &amp; Regulatory Levies (Iran Tehran jurisdiction)</w:t>
            </w:r>
          </w:p>
        </w:tc>
        <w:tc>
          <w:tcPr/>
          <w:p>
            <w:pPr>
              <w:pStyle w:val="Compact"/>
              <w:jc w:val="left"/>
            </w:pPr>
            <w:r>
              <w:t xml:space="preserve">$14,155</w:t>
            </w:r>
          </w:p>
        </w:tc>
        <w:tc>
          <w:tcPr/>
          <w:p>
            <w:pPr>
              <w:pStyle w:val="Compact"/>
              <w:jc w:val="left"/>
            </w:pPr>
            <w:r>
              <w:t xml:space="preserve">5% composite</w:t>
            </w:r>
          </w:p>
        </w:tc>
      </w:tr>
      <w:tr>
        <w:tc>
          <w:tcPr>
            <w:gridSpan w:val="4"/>
          </w:tcPr>
          <w:p>
            <w:pPr>
              <w:pStyle w:val="Compact"/>
              <w:jc w:val="left"/>
            </w:pPr>
            <w:r>
              <w:t xml:space="preserve">GRAND TOTAL (Quotation Estimate)</w:t>
            </w:r>
          </w:p>
        </w:tc>
        <w:tc>
          <w:tcPr/>
          <w:p>
            <w:pPr>
              <w:pStyle w:val="Compact"/>
              <w:jc w:val="left"/>
            </w:pPr>
            <w:r>
              <w:t xml:space="preserve">$297,255</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3.1</w:t>
      </w:r>
      <w:r>
        <w:t xml:space="preserve"> </w:t>
      </w:r>
      <w:r>
        <w:t xml:space="preserve">This Quotation Estimate is valid for a period of thirty (30) calendar days from the date of issue. Beyond this period, all rates and terms are subject to revision based on prevailing economic conditions in Iran Tehran and international market fluctuations.</w:t>
      </w:r>
    </w:p>
    <w:p>
      <w:pPr>
        <w:numPr>
          <w:ilvl w:val="0"/>
          <w:numId w:val="1001"/>
        </w:numPr>
        <w:pStyle w:val="Compact"/>
      </w:pPr>
      <w:r>
        <w:rPr>
          <w:bCs/>
          <w:b/>
        </w:rPr>
        <w:t xml:space="preserve">3.2</w:t>
      </w:r>
      <w:r>
        <w:t xml:space="preserve"> </w:t>
      </w:r>
      <w:r>
        <w:t xml:space="preserve">Payment shall be structured in quarterly installments of 25% each, due within fifteen (15) business days of the commencement of each quarter. The Politician's office shall issue payment via bank transfer to the designated account of Meridian Political Strategy Group, LLC.</w:t>
      </w:r>
    </w:p>
    <w:p>
      <w:pPr>
        <w:numPr>
          <w:ilvl w:val="0"/>
          <w:numId w:val="1001"/>
        </w:numPr>
        <w:pStyle w:val="Compact"/>
      </w:pPr>
      <w:r>
        <w:rPr>
          <w:bCs/>
          <w:b/>
        </w:rPr>
        <w:t xml:space="preserve">3.3</w:t>
      </w:r>
      <w:r>
        <w:t xml:space="preserve"> </w:t>
      </w:r>
      <w:r>
        <w:t xml:space="preserve">All services shall be performed in strict compliance with the laws and regulations of the Islamic Republic of Iran, including but not limited to municipal governance statutes applicable in Tehran, data protection provisions, and public procurement guidelines where applicable.</w:t>
      </w:r>
    </w:p>
    <w:p>
      <w:pPr>
        <w:numPr>
          <w:ilvl w:val="0"/>
          <w:numId w:val="1001"/>
        </w:numPr>
        <w:pStyle w:val="Compact"/>
      </w:pPr>
      <w:r>
        <w:rPr>
          <w:bCs/>
          <w:b/>
        </w:rPr>
        <w:t xml:space="preserve">3.4</w:t>
      </w:r>
      <w:r>
        <w:t xml:space="preserve"> </w:t>
      </w:r>
      <w:r>
        <w:t xml:space="preserve">The Politician retains full editorial and strategic authority over all public-facing communications. Meridian's role is advisory and facilitative in nature. No public statement shall be issued without the Politician's written or recorded verbal approval.</w:t>
      </w:r>
    </w:p>
    <w:p>
      <w:pPr>
        <w:numPr>
          <w:ilvl w:val="0"/>
          <w:numId w:val="1001"/>
        </w:numPr>
        <w:pStyle w:val="Compact"/>
      </w:pPr>
      <w:r>
        <w:rPr>
          <w:bCs/>
          <w:b/>
        </w:rPr>
        <w:t xml:space="preserve">3.5</w:t>
      </w:r>
      <w:r>
        <w:t xml:space="preserve"> </w:t>
      </w:r>
      <w:r>
        <w:t xml:space="preserve">Confidentiality: All documents, strategies, constituent data, and internal communications generated under this engagement are classified as strictly confidential. A mutual Non-Disclosure Agreement (NDA) shall be executed prior to the commencement of services.</w:t>
      </w:r>
    </w:p>
    <w:p>
      <w:pPr>
        <w:numPr>
          <w:ilvl w:val="0"/>
          <w:numId w:val="1001"/>
        </w:numPr>
        <w:pStyle w:val="Compact"/>
      </w:pPr>
      <w:r>
        <w:rPr>
          <w:bCs/>
          <w:b/>
        </w:rPr>
        <w:t xml:space="preserve">3.6</w:t>
      </w:r>
      <w:r>
        <w:t xml:space="preserve"> </w:t>
      </w:r>
      <w:r>
        <w:t xml:space="preserve">Force Majeure: Neither party shall be held liable for delays or non-performance resulting from events beyond reasonable control, including but not limited to natural disasters, governmental directives, or public health emergencies affecting Tehran.</w:t>
      </w:r>
    </w:p>
    <w:p>
      <w:pPr>
        <w:numPr>
          <w:ilvl w:val="0"/>
          <w:numId w:val="1001"/>
        </w:numPr>
        <w:pStyle w:val="Compact"/>
      </w:pPr>
      <w:r>
        <w:rPr>
          <w:bCs/>
          <w:b/>
        </w:rPr>
        <w:t xml:space="preserve">3.7</w:t>
      </w:r>
      <w:r>
        <w:t xml:space="preserve"> </w:t>
      </w:r>
      <w:r>
        <w:t xml:space="preserve">Termination: Either party may terminate this engagement with sixty (60) days' written notice. Upon termination, all outstanding invoices for services rendered shall be settled within thirty (30) days.</w:t>
      </w:r>
    </w:p>
    <w:p>
      <w:pPr>
        <w:numPr>
          <w:ilvl w:val="0"/>
          <w:numId w:val="1001"/>
        </w:numPr>
        <w:pStyle w:val="Compact"/>
      </w:pPr>
      <w:r>
        <w:rPr>
          <w:bCs/>
          <w:b/>
        </w:rPr>
        <w:t xml:space="preserve">3.8</w:t>
      </w:r>
      <w:r>
        <w:t xml:space="preserve"> </w:t>
      </w:r>
      <w:r>
        <w:t xml:space="preserve">This Quotation Estimate does not constitute a binding contract until countersigned by both parties and accompanied by the executed Service Agreement and NDA.</w:t>
      </w:r>
    </w:p>
    <w:bookmarkEnd w:id="23"/>
    <w:bookmarkStart w:id="24" w:name="acceptance-and-authorization"/>
    <w:p>
      <w:pPr>
        <w:pStyle w:val="Heading2"/>
      </w:pPr>
      <w:r>
        <w:t xml:space="preserve">4. Acceptance and Authorization</w:t>
      </w:r>
    </w:p>
    <w:p>
      <w:pPr>
        <w:pStyle w:val="FirstParagraph"/>
      </w:pPr>
      <w:r>
        <w:t xml:space="preserve">By signing below, the Politician and the undersigned representative of Meridian Political Strategy Group, LLC, acknowledge that they have reviewed this Quotation Estimate in its entirety, understand the scope of services, associated costs, and terms outlined above, and agree to proceed with the engagement as described. This document serves as the foundational financial instrument for the professional relationship between the parties in the context of public service delivery in Iran Tehran.</w:t>
      </w:r>
    </w:p>
    <w:p>
      <w:pPr>
        <w:pStyle w:val="BodyText"/>
      </w:pPr>
      <w:r>
        <w:rPr>
          <w:bCs/>
          <w:b/>
        </w:rPr>
        <w:t xml:space="preserve">For the Politician (Client):</w:t>
      </w:r>
    </w:p>
    <w:p>
      <w:pPr>
        <w:pStyle w:val="BodyText"/>
      </w:pPr>
      <w:r>
        <w:t xml:space="preserve">Name: ______________________________</w:t>
      </w:r>
      <w:r>
        <w:br/>
      </w:r>
      <w:r>
        <w:t xml:space="preserve">Title: Council Member, Tehran</w:t>
      </w:r>
      <w:r>
        <w:br/>
      </w:r>
      <w:r>
        <w:t xml:space="preserve">Signature: ______________________________</w:t>
      </w:r>
      <w:r>
        <w:br/>
      </w:r>
      <w:r>
        <w:t xml:space="preserve">Date: ______________________________</w:t>
      </w:r>
    </w:p>
    <w:p>
      <w:pPr>
        <w:pStyle w:val="BodyText"/>
      </w:pPr>
      <w:r>
        <w:rPr>
          <w:bCs/>
          <w:b/>
        </w:rPr>
        <w:t xml:space="preserve">For Meridian Political Strategy Group, LLC:</w:t>
      </w:r>
    </w:p>
    <w:p>
      <w:pPr>
        <w:pStyle w:val="BodyText"/>
      </w:pPr>
      <w:r>
        <w:t xml:space="preserve">Name: ______________________________</w:t>
      </w:r>
      <w:r>
        <w:br/>
      </w:r>
      <w:r>
        <w:t xml:space="preserve">Title: Director of Political Advisory</w:t>
      </w:r>
      <w:r>
        <w:br/>
      </w:r>
      <w:r>
        <w:t xml:space="preserve">Signature: ______________________________</w:t>
      </w:r>
      <w:r>
        <w:br/>
      </w:r>
      <w:r>
        <w:t xml:space="preserve">Date: ______________________________</w:t>
      </w:r>
    </w:p>
    <w:p>
      <w:pPr>
        <w:pStyle w:val="BodyText"/>
      </w:pPr>
      <w:r>
        <w:t xml:space="preserve">Quotation Estimate No. QTE-IRN-2025-04782 | Meridian Political Strategy Group, LLC | 14th Floor, International Trade Tower, Valiasr Street, Tehran, Iran</w:t>
      </w:r>
    </w:p>
    <w:p>
      <w:pPr>
        <w:pStyle w:val="BodyText"/>
      </w:pPr>
      <w:r>
        <w:t xml:space="preserve">This document is the property of the issuing entity and the named Politician. Unauthorized reproduction or distribution is prohibited.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Iran Tehran</dc:title>
  <dc:creator/>
  <dc:language>en</dc:language>
  <cp:keywords/>
  <dcterms:created xsi:type="dcterms:W3CDTF">2026-10-10T02:22:50Z</dcterms:created>
  <dcterms:modified xsi:type="dcterms:W3CDTF">2026-10-10T02:22:50Z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