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mesopotamia-political-advisory-group"/>
    <w:p>
      <w:pPr>
        <w:pStyle w:val="Heading1"/>
      </w:pPr>
      <w:r>
        <w:t xml:space="preserve">Mesopotamia Political Advisory Group</w:t>
      </w:r>
    </w:p>
    <w:p>
      <w:pPr>
        <w:pStyle w:val="FirstParagraph"/>
      </w:pPr>
      <w:r>
        <w:t xml:space="preserve">Professional Political Consulting &amp; Strategic Advisory Services</w:t>
      </w:r>
    </w:p>
    <w:p>
      <w:pPr>
        <w:pStyle w:val="BodyText"/>
      </w:pPr>
      <w:r>
        <w:t xml:space="preserve">Office: Al-Mansour District, Baghdad, Iraq | Tel: +964-770-123-4567 | Email: info@mpag-baghdad.iq</w:t>
      </w:r>
    </w:p>
    <w:p>
      <w:pPr>
        <w:pStyle w:val="BodyText"/>
      </w:pPr>
      <w:r>
        <w:t xml:space="preserve">Commercial Registration No. IQ-BGH-2024-08841 | VAT Reg. No. 3100456789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QTE-MPAG-2025-00347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 (expires 14 July 2025)</w:t>
            </w:r>
          </w:p>
        </w:tc>
      </w:tr>
      <w:tr>
        <w:tc>
          <w:tcPr/>
          <w:p>
            <w:pPr>
              <w:pStyle w:val="Compact"/>
              <w:jc w:val="left"/>
            </w:pPr>
            <w:r>
              <w:t xml:space="preserve">Prepared For (Client)</w:t>
            </w:r>
          </w:p>
        </w:tc>
        <w:tc>
          <w:tcPr/>
          <w:p>
            <w:pPr>
              <w:pStyle w:val="Compact"/>
              <w:jc w:val="left"/>
            </w:pPr>
            <w:r>
              <w:t xml:space="preserve">Hon. Dr. Khalid Al-Rashid, Member of the Council of Representatives, Baghdad, Iraq</w:t>
            </w:r>
          </w:p>
        </w:tc>
      </w:tr>
      <w:tr>
        <w:tc>
          <w:tcPr/>
          <w:p>
            <w:pPr>
              <w:pStyle w:val="Compact"/>
              <w:jc w:val="left"/>
            </w:pPr>
            <w:r>
              <w:t xml:space="preserve">Client Address</w:t>
            </w:r>
          </w:p>
        </w:tc>
        <w:tc>
          <w:tcPr/>
          <w:p>
            <w:pPr>
              <w:pStyle w:val="Compact"/>
              <w:jc w:val="left"/>
            </w:pPr>
            <w:r>
              <w:t xml:space="preserve">Parliamentary Office, Al-Jumhuriya Square, Al-Karrada District, Baghdad, Iraq</w:t>
            </w:r>
          </w:p>
        </w:tc>
      </w:tr>
      <w:tr>
        <w:tc>
          <w:tcPr/>
          <w:p>
            <w:pPr>
              <w:pStyle w:val="Compact"/>
              <w:jc w:val="left"/>
            </w:pPr>
            <w:r>
              <w:t xml:space="preserve">Prepared By</w:t>
            </w:r>
          </w:p>
        </w:tc>
        <w:tc>
          <w:tcPr/>
          <w:p>
            <w:pPr>
              <w:pStyle w:val="Compact"/>
              <w:jc w:val="left"/>
            </w:pPr>
            <w:r>
              <w:t xml:space="preserve">Mesopotamia Political Advisory Group, Baghdad, Iraq</w:t>
            </w:r>
          </w:p>
        </w:tc>
      </w:tr>
      <w:tr>
        <w:tc>
          <w:tcPr/>
          <w:p>
            <w:pPr>
              <w:pStyle w:val="Compact"/>
              <w:jc w:val="left"/>
            </w:pPr>
            <w:r>
              <w:t xml:space="preserve">Project Reference</w:t>
            </w:r>
          </w:p>
        </w:tc>
        <w:tc>
          <w:tcPr/>
          <w:p>
            <w:pPr>
              <w:pStyle w:val="Compact"/>
              <w:jc w:val="left"/>
            </w:pPr>
            <w:r>
              <w:t xml:space="preserve">Political Campaign &amp; Legislative Advisory – 2025 Municipal Elections, Baghdad Governorate</w:t>
            </w:r>
          </w:p>
        </w:tc>
      </w:tr>
    </w:tbl>
    <w:p>
      <w:pPr>
        <w:pStyle w:val="BodyText"/>
      </w:pPr>
      <w:r>
        <w:t xml:space="preserve">1. Introduction and Purpose of This Quotation Estimate</w:t>
      </w:r>
    </w:p>
    <w:p>
      <w:pPr>
        <w:pStyle w:val="BodyText"/>
      </w:pPr>
      <w:r>
        <w:t xml:space="preserve">This</w:t>
      </w:r>
      <w:r>
        <w:t xml:space="preserve"> </w:t>
      </w:r>
      <w:r>
        <w:t xml:space="preserve">Quotation Estimate</w:t>
      </w:r>
      <w:r>
        <w:t xml:space="preserve"> </w:t>
      </w:r>
      <w:r>
        <w:t xml:space="preserve">is formally issued by Mesopotamia Political Advisory Group to provide a comprehensive, itemized breakdown of professional services to be rendered in support of a</w:t>
      </w:r>
      <w:r>
        <w:t xml:space="preserve"> </w:t>
      </w:r>
      <w:r>
        <w:t xml:space="preserve">Politician</w:t>
      </w:r>
      <w:r>
        <w:t xml:space="preserve"> </w:t>
      </w:r>
      <w:r>
        <w:t xml:space="preserve">operating within the political landscape of</w:t>
      </w:r>
      <w:r>
        <w:t xml:space="preserve"> </w:t>
      </w:r>
      <w:r>
        <w:t xml:space="preserve">Iraq Baghdad</w:t>
      </w:r>
      <w:r>
        <w:t xml:space="preserve">. The purpose of this document is to outline the scope of work, associated costs, delivery timelines, and contractual terms governing the engagement. All figures presented herein are quoted in Iraqi Dinar (IQD) unless otherwise stated, and are subject to the terms and conditions detailed in Section 6 of this Quotation Estimate.</w:t>
      </w:r>
    </w:p>
    <w:p>
      <w:pPr>
        <w:pStyle w:val="BodyText"/>
      </w:pPr>
      <w:r>
        <w:t xml:space="preserve">Our firm has been providing strategic political consulting, legislative research, public relations management, and campaign coordination services to elected officials, party leaders, and political candidates across the Republic of Iraq for over twelve years. This particular Quotation Estimate addresses the specific needs of a Politician preparing for the upcoming 2025 Baghdad Municipal Council elections and ongoing legislative duties within the Iraqi parliamentary framework.</w:t>
      </w:r>
    </w:p>
    <w:p>
      <w:pPr>
        <w:pStyle w:val="BodyText"/>
      </w:pPr>
      <w:r>
        <w:t xml:space="preserve">2. Scope of Services</w:t>
      </w:r>
    </w:p>
    <w:p>
      <w:pPr>
        <w:pStyle w:val="BodyText"/>
      </w:pPr>
      <w:r>
        <w:t xml:space="preserve">The following services constitute the full scope of professional engagement as detailed in this Quotation Estimate. Each service has been tailored to the unique political environment of Iraq Baghdad, taking into account the multi-sectarian composition of the electorate, the federal structure of Iraqi governance, and the specific regulatory requirements of the Independent Electoral Commission of Iraq (IECI).</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Cost (IQD)</w:t>
            </w:r>
          </w:p>
        </w:tc>
        <w:tc>
          <w:tcPr/>
          <w:p>
            <w:pPr>
              <w:pStyle w:val="Compact"/>
              <w:jc w:val="left"/>
            </w:pPr>
            <w:r>
              <w:t xml:space="preserve">Total Cost (IQD)</w:t>
            </w:r>
          </w:p>
        </w:tc>
      </w:tr>
      <w:tr>
        <w:tc>
          <w:tcPr/>
          <w:p>
            <w:pPr>
              <w:pStyle w:val="Compact"/>
              <w:jc w:val="left"/>
            </w:pPr>
            <w:r>
              <w:t xml:space="preserve">1</w:t>
            </w:r>
          </w:p>
        </w:tc>
        <w:tc>
          <w:tcPr/>
          <w:p>
            <w:pPr>
              <w:pStyle w:val="Compact"/>
              <w:jc w:val="left"/>
            </w:pPr>
            <w:r>
              <w:t xml:space="preserve">Strategic Political Campaign Planning &amp; Coordination for Baghdad Municipal Elections</w:t>
            </w:r>
          </w:p>
        </w:tc>
        <w:tc>
          <w:tcPr/>
          <w:p>
            <w:pPr>
              <w:pStyle w:val="Compact"/>
              <w:jc w:val="left"/>
            </w:pPr>
            <w:r>
              <w:t xml:space="preserve">6 months (Jan–Jun 2025)</w:t>
            </w:r>
          </w:p>
        </w:tc>
        <w:tc>
          <w:tcPr/>
          <w:p>
            <w:pPr>
              <w:pStyle w:val="Compact"/>
              <w:jc w:val="left"/>
            </w:pPr>
            <w:r>
              <w:t xml:space="preserve">8,500,000 / month</w:t>
            </w:r>
          </w:p>
        </w:tc>
        <w:tc>
          <w:tcPr/>
          <w:p>
            <w:pPr>
              <w:pStyle w:val="Compact"/>
              <w:jc w:val="left"/>
            </w:pPr>
            <w:r>
              <w:t xml:space="preserve">51,000,000</w:t>
            </w:r>
          </w:p>
        </w:tc>
      </w:tr>
      <w:tr>
        <w:tc>
          <w:tcPr/>
          <w:p>
            <w:pPr>
              <w:pStyle w:val="Compact"/>
              <w:jc w:val="left"/>
            </w:pPr>
            <w:r>
              <w:t xml:space="preserve">2</w:t>
            </w:r>
          </w:p>
        </w:tc>
        <w:tc>
          <w:tcPr/>
          <w:p>
            <w:pPr>
              <w:pStyle w:val="Compact"/>
              <w:jc w:val="left"/>
            </w:pPr>
            <w:r>
              <w:t xml:space="preserve">Legislative Research &amp; Policy Briefing for the Politician's Parliamentary Portfolio</w:t>
            </w:r>
          </w:p>
        </w:tc>
        <w:tc>
          <w:tcPr/>
          <w:p>
            <w:pPr>
              <w:pStyle w:val="Compact"/>
              <w:jc w:val="left"/>
            </w:pPr>
            <w:r>
              <w:t xml:space="preserve">12 months (ongoing)</w:t>
            </w:r>
          </w:p>
        </w:tc>
        <w:tc>
          <w:tcPr/>
          <w:p>
            <w:pPr>
              <w:pStyle w:val="Compact"/>
              <w:jc w:val="left"/>
            </w:pPr>
            <w:r>
              <w:t xml:space="preserve">4,200,000 / month</w:t>
            </w:r>
          </w:p>
        </w:tc>
        <w:tc>
          <w:tcPr/>
          <w:p>
            <w:pPr>
              <w:pStyle w:val="Compact"/>
              <w:jc w:val="left"/>
            </w:pPr>
            <w:r>
              <w:t xml:space="preserve">50,400,000</w:t>
            </w:r>
          </w:p>
        </w:tc>
      </w:tr>
      <w:tr>
        <w:tc>
          <w:tcPr/>
          <w:p>
            <w:pPr>
              <w:pStyle w:val="Compact"/>
              <w:jc w:val="left"/>
            </w:pPr>
            <w:r>
              <w:t xml:space="preserve">3</w:t>
            </w:r>
          </w:p>
        </w:tc>
        <w:tc>
          <w:tcPr/>
          <w:p>
            <w:pPr>
              <w:pStyle w:val="Compact"/>
              <w:jc w:val="left"/>
            </w:pPr>
            <w:r>
              <w:t xml:space="preserve">Public Relations &amp; Media Management (Arabic &amp; Kurdish language coverage, Baghdad-based press)</w:t>
            </w:r>
          </w:p>
        </w:tc>
        <w:tc>
          <w:tcPr/>
          <w:p>
            <w:pPr>
              <w:pStyle w:val="Compact"/>
              <w:jc w:val="left"/>
            </w:pPr>
            <w:r>
              <w:t xml:space="preserve">6 months</w:t>
            </w:r>
          </w:p>
        </w:tc>
        <w:tc>
          <w:tcPr/>
          <w:p>
            <w:pPr>
              <w:pStyle w:val="Compact"/>
              <w:jc w:val="left"/>
            </w:pPr>
            <w:r>
              <w:t xml:space="preserve">6,800,000 / month</w:t>
            </w:r>
          </w:p>
        </w:tc>
        <w:tc>
          <w:tcPr/>
          <w:p>
            <w:pPr>
              <w:pStyle w:val="Compact"/>
              <w:jc w:val="left"/>
            </w:pPr>
            <w:r>
              <w:t xml:space="preserve">40,800,000</w:t>
            </w:r>
          </w:p>
        </w:tc>
      </w:tr>
      <w:tr>
        <w:tc>
          <w:tcPr/>
          <w:p>
            <w:pPr>
              <w:pStyle w:val="Compact"/>
              <w:jc w:val="left"/>
            </w:pPr>
            <w:r>
              <w:t xml:space="preserve">4</w:t>
            </w:r>
          </w:p>
        </w:tc>
        <w:tc>
          <w:tcPr/>
          <w:p>
            <w:pPr>
              <w:pStyle w:val="Compact"/>
              <w:jc w:val="left"/>
            </w:pPr>
            <w:r>
              <w:t xml:space="preserve">Constituency Engagement &amp; Community Outreach Program (Al-Karrada, Al-Mansour, Al-Rusafa districts)</w:t>
            </w:r>
          </w:p>
        </w:tc>
        <w:tc>
          <w:tcPr/>
          <w:p>
            <w:pPr>
              <w:pStyle w:val="Compact"/>
              <w:jc w:val="left"/>
            </w:pPr>
            <w:r>
              <w:t xml:space="preserve">4 months</w:t>
            </w:r>
          </w:p>
        </w:tc>
        <w:tc>
          <w:tcPr/>
          <w:p>
            <w:pPr>
              <w:pStyle w:val="Compact"/>
              <w:jc w:val="left"/>
            </w:pPr>
            <w:r>
              <w:t xml:space="preserve">5,500,000 / month</w:t>
            </w:r>
          </w:p>
        </w:tc>
        <w:tc>
          <w:tcPr/>
          <w:p>
            <w:pPr>
              <w:pStyle w:val="Compact"/>
              <w:jc w:val="left"/>
            </w:pPr>
            <w:r>
              <w:t xml:space="preserve">22,000,000</w:t>
            </w:r>
          </w:p>
        </w:tc>
      </w:tr>
      <w:tr>
        <w:tc>
          <w:tcPr/>
          <w:p>
            <w:pPr>
              <w:pStyle w:val="Compact"/>
              <w:jc w:val="left"/>
            </w:pPr>
            <w:r>
              <w:t xml:space="preserve">5</w:t>
            </w:r>
          </w:p>
        </w:tc>
        <w:tc>
          <w:tcPr/>
          <w:p>
            <w:pPr>
              <w:pStyle w:val="Compact"/>
              <w:jc w:val="left"/>
            </w:pPr>
            <w:r>
              <w:t xml:space="preserve">Digital Campaign Management &amp; Social Media Strategy (Iraqi market-specific)</w:t>
            </w:r>
          </w:p>
        </w:tc>
        <w:tc>
          <w:tcPr/>
          <w:p>
            <w:pPr>
              <w:pStyle w:val="Compact"/>
              <w:jc w:val="left"/>
            </w:pPr>
            <w:r>
              <w:t xml:space="preserve">6 months</w:t>
            </w:r>
          </w:p>
        </w:tc>
        <w:tc>
          <w:tcPr/>
          <w:p>
            <w:pPr>
              <w:pStyle w:val="Compact"/>
              <w:jc w:val="left"/>
            </w:pPr>
            <w:r>
              <w:t xml:space="preserve">3,900,000 / month</w:t>
            </w:r>
          </w:p>
        </w:tc>
        <w:tc>
          <w:tcPr/>
          <w:p>
            <w:pPr>
              <w:pStyle w:val="Compact"/>
              <w:jc w:val="left"/>
            </w:pPr>
            <w:r>
              <w:t xml:space="preserve">23,400,000</w:t>
            </w:r>
          </w:p>
        </w:tc>
      </w:tr>
      <w:tr>
        <w:tc>
          <w:tcPr/>
          <w:p>
            <w:pPr>
              <w:pStyle w:val="Compact"/>
              <w:jc w:val="left"/>
            </w:pPr>
            <w:r>
              <w:t xml:space="preserve">6</w:t>
            </w:r>
          </w:p>
        </w:tc>
        <w:tc>
          <w:tcPr/>
          <w:p>
            <w:pPr>
              <w:pStyle w:val="Compact"/>
              <w:jc w:val="left"/>
            </w:pPr>
            <w:r>
              <w:t xml:space="preserve">Legal &amp; Regulatory Compliance Advisory (IECI registration, campaign finance reporting, Iraqi electoral law)</w:t>
            </w:r>
          </w:p>
        </w:tc>
        <w:tc>
          <w:tcPr/>
          <w:p>
            <w:pPr>
              <w:pStyle w:val="Compact"/>
              <w:jc w:val="left"/>
            </w:pPr>
            <w:r>
              <w:t xml:space="preserve">As needed (12 months)</w:t>
            </w:r>
          </w:p>
        </w:tc>
        <w:tc>
          <w:tcPr/>
          <w:p>
            <w:pPr>
              <w:pStyle w:val="Compact"/>
              <w:jc w:val="left"/>
            </w:pPr>
            <w:r>
              <w:t xml:space="preserve">2,500,000 / engagement</w:t>
            </w:r>
          </w:p>
        </w:tc>
        <w:tc>
          <w:tcPr/>
          <w:p>
            <w:pPr>
              <w:pStyle w:val="Compact"/>
              <w:jc w:val="left"/>
            </w:pPr>
            <w:r>
              <w:t xml:space="preserve">15,000,000</w:t>
            </w:r>
          </w:p>
        </w:tc>
      </w:tr>
      <w:tr>
        <w:tc>
          <w:tcPr/>
          <w:p>
            <w:pPr>
              <w:pStyle w:val="Compact"/>
              <w:jc w:val="left"/>
            </w:pPr>
            <w:r>
              <w:t xml:space="preserve">7</w:t>
            </w:r>
          </w:p>
        </w:tc>
        <w:tc>
          <w:tcPr/>
          <w:p>
            <w:pPr>
              <w:pStyle w:val="Compact"/>
              <w:jc w:val="left"/>
            </w:pPr>
            <w:r>
              <w:t xml:space="preserve">Political Risk Assessment &amp; Security Protocol Advisory for the Politician in Baghdad</w:t>
            </w:r>
          </w:p>
        </w:tc>
        <w:tc>
          <w:tcPr/>
          <w:p>
            <w:pPr>
              <w:pStyle w:val="Compact"/>
              <w:jc w:val="left"/>
            </w:pPr>
            <w:r>
              <w:t xml:space="preserve">12 months</w:t>
            </w:r>
          </w:p>
        </w:tc>
        <w:tc>
          <w:tcPr/>
          <w:p>
            <w:pPr>
              <w:pStyle w:val="Compact"/>
              <w:jc w:val="left"/>
            </w:pPr>
            <w:r>
              <w:t xml:space="preserve">3,200,000 / month</w:t>
            </w:r>
          </w:p>
        </w:tc>
        <w:tc>
          <w:tcPr/>
          <w:p>
            <w:pPr>
              <w:pStyle w:val="Compact"/>
              <w:jc w:val="left"/>
            </w:pPr>
            <w:r>
              <w:t xml:space="preserve">38,400,000</w:t>
            </w:r>
          </w:p>
        </w:tc>
      </w:tr>
      <w:tr>
        <w:tc>
          <w:tcPr/>
          <w:p>
            <w:pPr>
              <w:pStyle w:val="Compact"/>
              <w:jc w:val="left"/>
            </w:pPr>
            <w:r>
              <w:t xml:space="preserve">8</w:t>
            </w:r>
          </w:p>
        </w:tc>
        <w:tc>
          <w:tcPr/>
          <w:p>
            <w:pPr>
              <w:pStyle w:val="Compact"/>
              <w:jc w:val="left"/>
            </w:pPr>
            <w:r>
              <w:t xml:space="preserve">Inter-Party Negotiation Support &amp; Coalition Building Strategy (Baghdad political blocs)</w:t>
            </w:r>
          </w:p>
        </w:tc>
        <w:tc>
          <w:tcPr/>
          <w:p>
            <w:pPr>
              <w:pStyle w:val="Compact"/>
              <w:jc w:val="left"/>
            </w:pPr>
            <w:r>
              <w:t xml:space="preserve">3 months</w:t>
            </w:r>
          </w:p>
        </w:tc>
        <w:tc>
          <w:tcPr/>
          <w:p>
            <w:pPr>
              <w:pStyle w:val="Compact"/>
              <w:jc w:val="left"/>
            </w:pPr>
            <w:r>
              <w:t xml:space="preserve">7,000,000 / month</w:t>
            </w:r>
          </w:p>
        </w:tc>
        <w:tc>
          <w:tcPr/>
          <w:p>
            <w:pPr>
              <w:pStyle w:val="Compact"/>
              <w:jc w:val="left"/>
            </w:pPr>
            <w:r>
              <w:t xml:space="preserve">21,000,000</w:t>
            </w:r>
          </w:p>
        </w:tc>
      </w:tr>
      <w:tr>
        <w:tc>
          <w:tcPr>
            <w:gridSpan w:val="4"/>
          </w:tcPr>
          <w:p>
            <w:pPr>
              <w:pStyle w:val="Compact"/>
              <w:jc w:val="left"/>
            </w:pPr>
            <w:r>
              <w:t xml:space="preserve">Subtotal</w:t>
            </w:r>
          </w:p>
        </w:tc>
        <w:tc>
          <w:tcPr/>
          <w:p>
            <w:pPr>
              <w:pStyle w:val="Compact"/>
              <w:jc w:val="left"/>
            </w:pPr>
            <w:r>
              <w:t xml:space="preserve">262,000,000 IQD</w:t>
            </w:r>
          </w:p>
        </w:tc>
      </w:tr>
      <w:tr>
        <w:tc>
          <w:tcPr>
            <w:gridSpan w:val="4"/>
          </w:tcPr>
          <w:p>
            <w:pPr>
              <w:pStyle w:val="Compact"/>
              <w:jc w:val="left"/>
            </w:pPr>
            <w:r>
              <w:t xml:space="preserve">VAT (5% – Iraq Standard Rate)</w:t>
            </w:r>
          </w:p>
        </w:tc>
        <w:tc>
          <w:tcPr/>
          <w:p>
            <w:pPr>
              <w:pStyle w:val="Compact"/>
              <w:jc w:val="left"/>
            </w:pPr>
            <w:r>
              <w:t xml:space="preserve">13,100,000 IQD</w:t>
            </w:r>
          </w:p>
        </w:tc>
      </w:tr>
      <w:tr>
        <w:tc>
          <w:tcPr>
            <w:gridSpan w:val="4"/>
          </w:tcPr>
          <w:p>
            <w:pPr>
              <w:pStyle w:val="Compact"/>
              <w:jc w:val="left"/>
            </w:pPr>
            <w:r>
              <w:t xml:space="preserve">TOTAL AMOUNT DUE</w:t>
            </w:r>
          </w:p>
        </w:tc>
        <w:tc>
          <w:tcPr/>
          <w:p>
            <w:pPr>
              <w:pStyle w:val="Compact"/>
              <w:jc w:val="left"/>
            </w:pPr>
            <w:r>
              <w:t xml:space="preserve">275,100,000 IQD</w:t>
            </w:r>
          </w:p>
        </w:tc>
      </w:tr>
    </w:tbl>
    <w:p>
      <w:pPr>
        <w:pStyle w:val="BodyText"/>
      </w:pPr>
      <w:r>
        <w:t xml:space="preserve">3. Payment Terms</w:t>
      </w:r>
    </w:p>
    <w:p>
      <w:pPr>
        <w:pStyle w:val="BodyText"/>
      </w:pPr>
      <w:r>
        <w:t xml:space="preserve">Payment for the services outlined in this Quotation Estimate shall be made in monthly installments, due within fifteen (15) business days of the invoice date. The first installment shall be due upon execution of the service agreement. All payments shall be made via bank transfer to the firm's designated account at the Central Bank of Iraq, Baghdad branch. Late payments shall incur a penalty of 2% per month on the outstanding balance.</w:t>
      </w:r>
    </w:p>
    <w:p>
      <w:pPr>
        <w:pStyle w:val="BodyText"/>
      </w:pPr>
      <w:r>
        <w:t xml:space="preserve">4. Assumptions and Exclusions</w:t>
      </w:r>
    </w:p>
    <w:p>
      <w:pPr>
        <w:pStyle w:val="BodyText"/>
      </w:pPr>
      <w:r>
        <w:t xml:space="preserve">This Quotation Estimate assumes that the Politician will provide timely access to all necessary documentation, parliamentary credentials, and constituency data. Costs associated with physical campaign materials (banners, printed literature, vehicle rentals), security personnel deployment, and travel outside the Baghdad Governorate are excluded from this estimate and will be quoted separately upon request. Any scope changes exceeding 10% of the original work plan will require a revised Quotation Estimate.</w:t>
      </w:r>
    </w:p>
    <w:p>
      <w:pPr>
        <w:pStyle w:val="BodyText"/>
      </w:pPr>
      <w:r>
        <w:t xml:space="preserve">5. Delivery and Performance Standards</w:t>
      </w:r>
    </w:p>
    <w:p>
      <w:pPr>
        <w:pStyle w:val="BodyText"/>
      </w:pPr>
      <w:r>
        <w:t xml:space="preserve">All deliverables shall be produced in accordance with the professional standards expected of political advisory services in Iraq Baghdad. Weekly progress reports will be submitted to the Politician's office every Friday. Monthly strategic review meetings will be conducted at the client's parliamentary office in Al-Jumhuriya Square, Baghdad, or at our firm's headquarters in Al-Mansour District, at the client's discretion.</w:t>
      </w:r>
    </w:p>
    <w:p>
      <w:pPr>
        <w:pStyle w:val="BodyText"/>
      </w:pPr>
      <w:r>
        <w:t xml:space="preserve">6. Terms and Conditions</w:t>
      </w:r>
    </w:p>
    <w:p>
      <w:pPr>
        <w:numPr>
          <w:ilvl w:val="0"/>
          <w:numId w:val="1001"/>
        </w:numPr>
        <w:pStyle w:val="Compact"/>
      </w:pPr>
      <w:r>
        <w:t xml:space="preserve">This Quotation Estimate is valid for thirty (30) calendar days from the date of issue. After the expiry date, all pricing is subject to revision.</w:t>
      </w:r>
    </w:p>
    <w:p>
      <w:pPr>
        <w:numPr>
          <w:ilvl w:val="0"/>
          <w:numId w:val="1001"/>
        </w:numPr>
        <w:pStyle w:val="Compact"/>
      </w:pPr>
      <w:r>
        <w:t xml:space="preserve">Acceptance of this Quotation Estimate constitutes agreement to all terms and conditions herein and shall be formalized through a separate Service Agreement.</w:t>
      </w:r>
    </w:p>
    <w:p>
      <w:pPr>
        <w:numPr>
          <w:ilvl w:val="0"/>
          <w:numId w:val="1001"/>
        </w:numPr>
        <w:pStyle w:val="Compact"/>
      </w:pPr>
      <w:r>
        <w:t xml:space="preserve">All work performed under this engagement is subject to the laws of the Republic of Iraq, including the Iraqi Electoral Law No. 4 of 2018 (as amended) and applicable Baghdad municipal regulations.</w:t>
      </w:r>
    </w:p>
    <w:p>
      <w:pPr>
        <w:numPr>
          <w:ilvl w:val="0"/>
          <w:numId w:val="1001"/>
        </w:numPr>
        <w:pStyle w:val="Compact"/>
      </w:pPr>
      <w:r>
        <w:t xml:space="preserve">Confidentiality: All information pertaining to the Politician's strategy, communications, and internal deliberations shall be treated as strictly confidential and shall not be disclosed to any third party without written consent.</w:t>
      </w:r>
    </w:p>
    <w:p>
      <w:pPr>
        <w:numPr>
          <w:ilvl w:val="0"/>
          <w:numId w:val="1001"/>
        </w:numPr>
        <w:pStyle w:val="Compact"/>
      </w:pPr>
      <w:r>
        <w:t xml:space="preserve">Termination: Either party may terminate the engagement with thirty (30) days' written notice. In the event of early termination, the Politician shall be liable for all services rendered up to the termination date.</w:t>
      </w:r>
    </w:p>
    <w:p>
      <w:pPr>
        <w:numPr>
          <w:ilvl w:val="0"/>
          <w:numId w:val="1001"/>
        </w:numPr>
        <w:pStyle w:val="Compact"/>
      </w:pPr>
      <w:r>
        <w:t xml:space="preserve">Dispute Resolution: Any disputes arising from this Quotation Estimate or the subsequent agreement shall be resolved through mediation in Baghdad, Iraq, in accordance with Iraqi commercial law.</w:t>
      </w:r>
    </w:p>
    <w:p>
      <w:pPr>
        <w:numPr>
          <w:ilvl w:val="0"/>
          <w:numId w:val="1001"/>
        </w:numPr>
        <w:pStyle w:val="Compact"/>
      </w:pPr>
      <w:r>
        <w:t xml:space="preserve">This Quotation Estimate does not constitute a binding contract until countersigned by both parties and the formal Service Agreement is executed.</w:t>
      </w:r>
    </w:p>
    <w:p>
      <w:pPr>
        <w:pStyle w:val="FirstParagraph"/>
      </w:pPr>
      <w:r>
        <w:t xml:space="preserve">7. Acceptance and Authorization</w:t>
      </w:r>
    </w:p>
    <w:p>
      <w:pPr>
        <w:pStyle w:val="BodyText"/>
      </w:pPr>
      <w:r>
        <w:t xml:space="preserve">By signing below, both parties acknowledge that they have read, understood, and agree to the terms set forth in this Quotation Estimate. This document serves as the formal basis for the professional engagement between Mesopotamia Political Advisory Group and the Politician in Iraq Baghdad.</w:t>
      </w:r>
    </w:p>
    <w:p>
      <w:pPr>
        <w:pStyle w:val="BodyText"/>
      </w:pPr>
      <w:r>
        <w:rPr>
          <w:bCs/>
          <w:b/>
        </w:rPr>
        <w:t xml:space="preserve">For Mesopotamia Political Advisory Group</w:t>
      </w:r>
      <w:r>
        <w:br/>
      </w:r>
      <w:r>
        <w:t xml:space="preserve">Name: Eng. Sarah Al-Hassan</w:t>
      </w:r>
      <w:r>
        <w:br/>
      </w:r>
      <w:r>
        <w:t xml:space="preserve">Title: Managing Director</w:t>
      </w:r>
      <w:r>
        <w:br/>
      </w:r>
      <w:r>
        <w:t xml:space="preserve">Date: _______________</w:t>
      </w:r>
    </w:p>
    <w:p>
      <w:pPr>
        <w:pStyle w:val="BodyText"/>
      </w:pPr>
      <w:r>
        <w:rPr>
          <w:bCs/>
          <w:b/>
        </w:rPr>
        <w:t xml:space="preserve">For the Client (Politician)</w:t>
      </w:r>
      <w:r>
        <w:br/>
      </w:r>
      <w:r>
        <w:t xml:space="preserve">Name: Hon. Dr. Khalid Al-Rashid</w:t>
      </w:r>
      <w:r>
        <w:br/>
      </w:r>
      <w:r>
        <w:t xml:space="preserve">Title: Member of Council of Representatives</w:t>
      </w:r>
      <w:r>
        <w:br/>
      </w:r>
      <w:r>
        <w:t xml:space="preserve">Date: _______________</w:t>
      </w:r>
    </w:p>
    <w:p>
      <w:pPr>
        <w:pStyle w:val="BodyText"/>
      </w:pPr>
      <w:r>
        <w:t xml:space="preserve">Mesopotamia Political Advisory Group | Al-Mansour District, Baghdad, Iraq | CR: IQ-BGH-2024-08841</w:t>
      </w:r>
    </w:p>
    <w:p>
      <w:pPr>
        <w:pStyle w:val="BodyText"/>
      </w:pPr>
      <w:r>
        <w:t xml:space="preserve">This Quotation Estimate is the property of Mesopotamia Political Advisory Group and is issued exclusively for the named client. Unauthorized reproduction or distribution is prohibited under Iraqi intellectual property law.</w:t>
      </w:r>
    </w:p>
    <w:p>
      <w:pPr>
        <w:pStyle w:val="BodyText"/>
      </w:pPr>
      <w:r>
        <w:t xml:space="preserve">Page 1 of 1 | Document Ref: QTE-MPAG-2025-00347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Political Advisory Services - Iraq Baghdad</dc:title>
  <dc:creator/>
  <dc:language>en</dc:language>
  <cp:keywords/>
  <dcterms:created xsi:type="dcterms:W3CDTF">2026-10-10T03:14:20Z</dcterms:created>
  <dcterms:modified xsi:type="dcterms:W3CDTF">2026-10-10T03:14:20Z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